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0A36" w14:textId="69455863" w:rsidR="0006058E" w:rsidRPr="00736B09" w:rsidRDefault="0006058E" w:rsidP="0006058E">
      <w:pPr>
        <w:ind w:left="450" w:hanging="360"/>
        <w:rPr>
          <w:rFonts w:ascii="Times New Roman" w:hAnsi="Times New Roman" w:cs="Times New Roman"/>
          <w:b/>
          <w:bCs/>
          <w:sz w:val="24"/>
          <w:szCs w:val="24"/>
        </w:rPr>
      </w:pPr>
      <w:r w:rsidRPr="00736B09">
        <w:rPr>
          <w:rFonts w:ascii="Times New Roman" w:hAnsi="Times New Roman" w:cs="Times New Roman"/>
          <w:b/>
          <w:bCs/>
          <w:sz w:val="24"/>
          <w:szCs w:val="24"/>
        </w:rPr>
        <w:t>United Nations Capital Development Fund</w:t>
      </w:r>
      <w:r w:rsidR="00F35060">
        <w:rPr>
          <w:rFonts w:ascii="Times New Roman" w:hAnsi="Times New Roman" w:cs="Times New Roman"/>
          <w:b/>
          <w:bCs/>
          <w:sz w:val="24"/>
          <w:szCs w:val="24"/>
        </w:rPr>
        <w:t xml:space="preserve"> (UNCDF)</w:t>
      </w:r>
    </w:p>
    <w:p w14:paraId="03AB6417" w14:textId="4650F2EF" w:rsidR="0039326D" w:rsidRPr="00736B09" w:rsidRDefault="004D40E7" w:rsidP="0006058E">
      <w:pPr>
        <w:ind w:left="450" w:hanging="360"/>
        <w:rPr>
          <w:rFonts w:ascii="Times New Roman" w:hAnsi="Times New Roman" w:cs="Times New Roman"/>
          <w:i/>
          <w:iCs/>
          <w:sz w:val="24"/>
          <w:szCs w:val="24"/>
        </w:rPr>
      </w:pPr>
      <w:r>
        <w:rPr>
          <w:rFonts w:ascii="Times New Roman" w:hAnsi="Times New Roman" w:cs="Times New Roman"/>
          <w:i/>
          <w:iCs/>
          <w:sz w:val="24"/>
          <w:szCs w:val="24"/>
        </w:rPr>
        <w:t xml:space="preserve">Note to the Executive Board </w:t>
      </w:r>
      <w:r w:rsidR="004567B0" w:rsidRPr="00736B09">
        <w:rPr>
          <w:rFonts w:ascii="Times New Roman" w:hAnsi="Times New Roman" w:cs="Times New Roman"/>
          <w:i/>
          <w:iCs/>
          <w:sz w:val="24"/>
          <w:szCs w:val="24"/>
        </w:rPr>
        <w:t xml:space="preserve"> – </w:t>
      </w:r>
      <w:r w:rsidR="0039326D" w:rsidRPr="00736B09">
        <w:rPr>
          <w:rFonts w:ascii="Times New Roman" w:hAnsi="Times New Roman" w:cs="Times New Roman"/>
          <w:i/>
          <w:iCs/>
          <w:sz w:val="24"/>
          <w:szCs w:val="24"/>
        </w:rPr>
        <w:t>Annual Review of the Financial Situation</w:t>
      </w:r>
      <w:r w:rsidR="003B405C" w:rsidRPr="00736B09">
        <w:rPr>
          <w:rFonts w:ascii="Times New Roman" w:hAnsi="Times New Roman" w:cs="Times New Roman"/>
          <w:i/>
          <w:iCs/>
          <w:sz w:val="24"/>
          <w:szCs w:val="24"/>
        </w:rPr>
        <w:t>,</w:t>
      </w:r>
      <w:r w:rsidR="0039326D" w:rsidRPr="00736B09">
        <w:rPr>
          <w:rFonts w:ascii="Times New Roman" w:hAnsi="Times New Roman" w:cs="Times New Roman"/>
          <w:i/>
          <w:iCs/>
          <w:sz w:val="24"/>
          <w:szCs w:val="24"/>
        </w:rPr>
        <w:t xml:space="preserve"> 2018</w:t>
      </w:r>
    </w:p>
    <w:p w14:paraId="5691CF80" w14:textId="319265DB" w:rsidR="0006058E" w:rsidRPr="00736B09" w:rsidRDefault="004567B0" w:rsidP="0006058E">
      <w:pPr>
        <w:ind w:left="450" w:hanging="360"/>
        <w:rPr>
          <w:rFonts w:ascii="Times New Roman" w:hAnsi="Times New Roman" w:cs="Times New Roman"/>
          <w:i/>
          <w:iCs/>
          <w:sz w:val="24"/>
          <w:szCs w:val="24"/>
        </w:rPr>
      </w:pPr>
      <w:r w:rsidRPr="00736B09">
        <w:rPr>
          <w:rFonts w:ascii="Times New Roman" w:hAnsi="Times New Roman" w:cs="Times New Roman"/>
          <w:i/>
          <w:iCs/>
          <w:sz w:val="24"/>
          <w:szCs w:val="24"/>
        </w:rPr>
        <w:t xml:space="preserve">Second Regular Session 2019 of the Executive Board </w:t>
      </w:r>
    </w:p>
    <w:p w14:paraId="6ACE028F" w14:textId="672E5109" w:rsidR="00CB385D" w:rsidRPr="0094343D" w:rsidRDefault="00A22772" w:rsidP="00F26E3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Introduction</w:t>
      </w:r>
      <w:r w:rsidR="002A5663">
        <w:rPr>
          <w:rFonts w:ascii="Times New Roman" w:hAnsi="Times New Roman" w:cs="Times New Roman"/>
          <w:b/>
          <w:sz w:val="28"/>
          <w:szCs w:val="28"/>
        </w:rPr>
        <w:t xml:space="preserve"> and Overview</w:t>
      </w:r>
    </w:p>
    <w:p w14:paraId="7C45241A" w14:textId="77777777" w:rsidR="0094343D" w:rsidRDefault="0094343D" w:rsidP="0094343D">
      <w:pPr>
        <w:pStyle w:val="ListParagraph"/>
        <w:rPr>
          <w:rFonts w:ascii="Times New Roman" w:hAnsi="Times New Roman" w:cs="Times New Roman"/>
        </w:rPr>
      </w:pPr>
    </w:p>
    <w:p w14:paraId="23128BFF" w14:textId="6CD0A043" w:rsidR="00A84E07" w:rsidRDefault="00BB3B51" w:rsidP="00F211CF">
      <w:pPr>
        <w:pStyle w:val="ListParagraph"/>
        <w:numPr>
          <w:ilvl w:val="0"/>
          <w:numId w:val="3"/>
        </w:numPr>
        <w:rPr>
          <w:rFonts w:ascii="Times New Roman" w:hAnsi="Times New Roman" w:cs="Times New Roman"/>
        </w:rPr>
      </w:pPr>
      <w:r>
        <w:rPr>
          <w:rFonts w:ascii="Times New Roman" w:hAnsi="Times New Roman" w:cs="Times New Roman"/>
        </w:rPr>
        <w:t xml:space="preserve">UNCDF is presenting its </w:t>
      </w:r>
      <w:r w:rsidR="009F7D3A">
        <w:rPr>
          <w:rFonts w:ascii="Times New Roman" w:hAnsi="Times New Roman" w:cs="Times New Roman"/>
        </w:rPr>
        <w:t>Note</w:t>
      </w:r>
      <w:r w:rsidR="000C78B1">
        <w:rPr>
          <w:rFonts w:ascii="Times New Roman" w:hAnsi="Times New Roman" w:cs="Times New Roman"/>
        </w:rPr>
        <w:t xml:space="preserve"> on </w:t>
      </w:r>
      <w:r w:rsidR="008160A2">
        <w:rPr>
          <w:rFonts w:ascii="Times New Roman" w:hAnsi="Times New Roman" w:cs="Times New Roman"/>
        </w:rPr>
        <w:t xml:space="preserve">the </w:t>
      </w:r>
      <w:r>
        <w:rPr>
          <w:rFonts w:ascii="Times New Roman" w:hAnsi="Times New Roman" w:cs="Times New Roman"/>
        </w:rPr>
        <w:t>Annual Review of the Financial Situation</w:t>
      </w:r>
      <w:r w:rsidR="000C78B1">
        <w:rPr>
          <w:rFonts w:ascii="Times New Roman" w:hAnsi="Times New Roman" w:cs="Times New Roman"/>
        </w:rPr>
        <w:t>,</w:t>
      </w:r>
      <w:r>
        <w:rPr>
          <w:rFonts w:ascii="Times New Roman" w:hAnsi="Times New Roman" w:cs="Times New Roman"/>
        </w:rPr>
        <w:t xml:space="preserve"> 2018 </w:t>
      </w:r>
      <w:r w:rsidR="007509E2">
        <w:rPr>
          <w:rFonts w:ascii="Times New Roman" w:hAnsi="Times New Roman" w:cs="Times New Roman"/>
        </w:rPr>
        <w:t>to the Executive Board</w:t>
      </w:r>
      <w:r w:rsidR="00AA79DB">
        <w:rPr>
          <w:rFonts w:ascii="Times New Roman" w:hAnsi="Times New Roman" w:cs="Times New Roman"/>
        </w:rPr>
        <w:t>.</w:t>
      </w:r>
      <w:r w:rsidR="008160A2">
        <w:rPr>
          <w:rStyle w:val="FootnoteReference"/>
          <w:rFonts w:ascii="Times New Roman" w:hAnsi="Times New Roman" w:cs="Times New Roman"/>
        </w:rPr>
        <w:footnoteReference w:id="1"/>
      </w:r>
      <w:r w:rsidR="00AA79DB">
        <w:rPr>
          <w:rFonts w:ascii="Times New Roman" w:hAnsi="Times New Roman" w:cs="Times New Roman"/>
        </w:rPr>
        <w:t xml:space="preserve">  </w:t>
      </w:r>
    </w:p>
    <w:p w14:paraId="0CBB2CDA" w14:textId="77777777" w:rsidR="00CB0F60" w:rsidRPr="00E15444" w:rsidRDefault="00CB0F60" w:rsidP="00CB0F60">
      <w:pPr>
        <w:pStyle w:val="ListParagraph"/>
        <w:ind w:left="1080"/>
        <w:rPr>
          <w:rFonts w:ascii="Times New Roman" w:hAnsi="Times New Roman" w:cs="Times New Roman"/>
        </w:rPr>
      </w:pPr>
    </w:p>
    <w:p w14:paraId="556A9025" w14:textId="39E78012" w:rsidR="006132A3" w:rsidRDefault="00F211CF" w:rsidP="00F211CF">
      <w:pPr>
        <w:pStyle w:val="ListParagraph"/>
        <w:numPr>
          <w:ilvl w:val="0"/>
          <w:numId w:val="3"/>
        </w:numPr>
        <w:rPr>
          <w:rFonts w:ascii="Times New Roman" w:hAnsi="Times New Roman" w:cs="Times New Roman"/>
        </w:rPr>
      </w:pPr>
      <w:r w:rsidRPr="00E15444">
        <w:rPr>
          <w:rFonts w:ascii="Times New Roman" w:hAnsi="Times New Roman" w:cs="Times New Roman"/>
        </w:rPr>
        <w:t>This report provides an overview of the financial position of UNCDF at the end of 2018</w:t>
      </w:r>
      <w:r w:rsidR="00F06613" w:rsidRPr="00E15444">
        <w:rPr>
          <w:rFonts w:ascii="Times New Roman" w:hAnsi="Times New Roman" w:cs="Times New Roman"/>
        </w:rPr>
        <w:t xml:space="preserve"> and</w:t>
      </w:r>
      <w:r w:rsidR="00E15444">
        <w:rPr>
          <w:rFonts w:ascii="Times New Roman" w:hAnsi="Times New Roman" w:cs="Times New Roman"/>
        </w:rPr>
        <w:t xml:space="preserve"> of the </w:t>
      </w:r>
      <w:r w:rsidR="00F06613" w:rsidRPr="00E15444">
        <w:rPr>
          <w:rFonts w:ascii="Times New Roman" w:hAnsi="Times New Roman" w:cs="Times New Roman"/>
        </w:rPr>
        <w:t>financial performanc</w:t>
      </w:r>
      <w:bookmarkStart w:id="0" w:name="_GoBack"/>
      <w:bookmarkEnd w:id="0"/>
      <w:r w:rsidR="00F06613" w:rsidRPr="00E15444">
        <w:rPr>
          <w:rFonts w:ascii="Times New Roman" w:hAnsi="Times New Roman" w:cs="Times New Roman"/>
        </w:rPr>
        <w:t xml:space="preserve">e </w:t>
      </w:r>
      <w:r w:rsidR="00E15444">
        <w:rPr>
          <w:rFonts w:ascii="Times New Roman" w:hAnsi="Times New Roman" w:cs="Times New Roman"/>
        </w:rPr>
        <w:t xml:space="preserve">of UNCDF </w:t>
      </w:r>
      <w:r w:rsidR="00F06613" w:rsidRPr="00E15444">
        <w:rPr>
          <w:rFonts w:ascii="Times New Roman" w:hAnsi="Times New Roman" w:cs="Times New Roman"/>
        </w:rPr>
        <w:t xml:space="preserve">for the year 2018. </w:t>
      </w:r>
      <w:r w:rsidRPr="00E15444">
        <w:rPr>
          <w:rFonts w:ascii="Times New Roman" w:hAnsi="Times New Roman" w:cs="Times New Roman"/>
        </w:rPr>
        <w:t>In 2018</w:t>
      </w:r>
      <w:r w:rsidR="002A5663" w:rsidRPr="00E15444">
        <w:rPr>
          <w:rFonts w:ascii="Times New Roman" w:hAnsi="Times New Roman" w:cs="Times New Roman"/>
        </w:rPr>
        <w:t xml:space="preserve"> UNCDF maintained a </w:t>
      </w:r>
      <w:r w:rsidR="00884504" w:rsidRPr="00E15444">
        <w:rPr>
          <w:rFonts w:ascii="Times New Roman" w:hAnsi="Times New Roman" w:cs="Times New Roman"/>
        </w:rPr>
        <w:t>positive financial position</w:t>
      </w:r>
      <w:r w:rsidR="006107FE" w:rsidRPr="00E15444">
        <w:rPr>
          <w:rFonts w:ascii="Times New Roman" w:hAnsi="Times New Roman" w:cs="Times New Roman"/>
        </w:rPr>
        <w:t xml:space="preserve"> and liquidity</w:t>
      </w:r>
      <w:r w:rsidRPr="00E15444">
        <w:rPr>
          <w:rFonts w:ascii="Times New Roman" w:hAnsi="Times New Roman" w:cs="Times New Roman"/>
        </w:rPr>
        <w:t xml:space="preserve">, </w:t>
      </w:r>
      <w:r w:rsidR="00C55264" w:rsidRPr="00E15444">
        <w:rPr>
          <w:rFonts w:ascii="Times New Roman" w:hAnsi="Times New Roman" w:cs="Times New Roman"/>
        </w:rPr>
        <w:t xml:space="preserve">with an increase of </w:t>
      </w:r>
      <w:r w:rsidR="006132A3" w:rsidRPr="00E15444">
        <w:rPr>
          <w:rFonts w:ascii="Times New Roman" w:hAnsi="Times New Roman" w:cs="Times New Roman"/>
        </w:rPr>
        <w:t xml:space="preserve">9 per cent in </w:t>
      </w:r>
      <w:r w:rsidR="00AB19EC" w:rsidRPr="00E15444">
        <w:rPr>
          <w:rFonts w:ascii="Times New Roman" w:hAnsi="Times New Roman" w:cs="Times New Roman"/>
        </w:rPr>
        <w:t>n</w:t>
      </w:r>
      <w:r w:rsidR="006132A3" w:rsidRPr="00E15444">
        <w:rPr>
          <w:rFonts w:ascii="Times New Roman" w:hAnsi="Times New Roman" w:cs="Times New Roman"/>
        </w:rPr>
        <w:t xml:space="preserve">et assets. </w:t>
      </w:r>
      <w:r w:rsidR="00B256BD" w:rsidRPr="00E15444">
        <w:rPr>
          <w:rFonts w:ascii="Times New Roman" w:hAnsi="Times New Roman" w:cs="Times New Roman"/>
        </w:rPr>
        <w:t>UNCDF revenues</w:t>
      </w:r>
      <w:r w:rsidR="00945C31" w:rsidRPr="00E15444">
        <w:rPr>
          <w:rFonts w:ascii="Times New Roman" w:hAnsi="Times New Roman" w:cs="Times New Roman"/>
        </w:rPr>
        <w:t xml:space="preserve"> </w:t>
      </w:r>
      <w:r w:rsidR="00FA3C15" w:rsidRPr="00E15444">
        <w:rPr>
          <w:rFonts w:ascii="Times New Roman" w:hAnsi="Times New Roman" w:cs="Times New Roman"/>
        </w:rPr>
        <w:t xml:space="preserve">continued to show an upward trend </w:t>
      </w:r>
      <w:r w:rsidR="00E15444" w:rsidRPr="00E15444">
        <w:rPr>
          <w:rFonts w:ascii="Times New Roman" w:hAnsi="Times New Roman" w:cs="Times New Roman"/>
        </w:rPr>
        <w:t xml:space="preserve">since 2016 </w:t>
      </w:r>
      <w:r w:rsidR="00FA3C15" w:rsidRPr="00E15444">
        <w:rPr>
          <w:rFonts w:ascii="Times New Roman" w:hAnsi="Times New Roman" w:cs="Times New Roman"/>
        </w:rPr>
        <w:t>with total revenue reaching $69</w:t>
      </w:r>
      <w:r w:rsidR="00945C31" w:rsidRPr="00E15444">
        <w:rPr>
          <w:rFonts w:ascii="Times New Roman" w:hAnsi="Times New Roman" w:cs="Times New Roman"/>
        </w:rPr>
        <w:t xml:space="preserve"> million</w:t>
      </w:r>
      <w:r w:rsidR="006107FE" w:rsidRPr="00E15444">
        <w:rPr>
          <w:rFonts w:ascii="Times New Roman" w:hAnsi="Times New Roman" w:cs="Times New Roman"/>
        </w:rPr>
        <w:t>.</w:t>
      </w:r>
    </w:p>
    <w:p w14:paraId="1C8DD0C7" w14:textId="77777777" w:rsidR="00CB0F60" w:rsidRPr="00CB0F60" w:rsidRDefault="00CB0F60" w:rsidP="00CB0F60">
      <w:pPr>
        <w:pStyle w:val="ListParagraph"/>
        <w:rPr>
          <w:rFonts w:ascii="Times New Roman" w:hAnsi="Times New Roman" w:cs="Times New Roman"/>
        </w:rPr>
      </w:pPr>
    </w:p>
    <w:p w14:paraId="02A3DE7C" w14:textId="4F4C5649" w:rsidR="00F211CF" w:rsidRPr="006132A3" w:rsidRDefault="0099311F" w:rsidP="006132A3">
      <w:pPr>
        <w:pStyle w:val="ListParagraph"/>
        <w:numPr>
          <w:ilvl w:val="0"/>
          <w:numId w:val="3"/>
        </w:numPr>
        <w:rPr>
          <w:rFonts w:ascii="Times New Roman" w:hAnsi="Times New Roman" w:cs="Times New Roman"/>
        </w:rPr>
      </w:pPr>
      <w:r>
        <w:rPr>
          <w:rFonts w:ascii="Times New Roman" w:hAnsi="Times New Roman" w:cs="Times New Roman"/>
        </w:rPr>
        <w:t>In 2018</w:t>
      </w:r>
      <w:r w:rsidR="00962D4B">
        <w:rPr>
          <w:rFonts w:ascii="Times New Roman" w:hAnsi="Times New Roman" w:cs="Times New Roman"/>
        </w:rPr>
        <w:t>,</w:t>
      </w:r>
      <w:r>
        <w:rPr>
          <w:rFonts w:ascii="Times New Roman" w:hAnsi="Times New Roman" w:cs="Times New Roman"/>
        </w:rPr>
        <w:t xml:space="preserve"> </w:t>
      </w:r>
      <w:r w:rsidR="00F211CF" w:rsidRPr="00B63213">
        <w:rPr>
          <w:rFonts w:ascii="Times New Roman" w:hAnsi="Times New Roman" w:cs="Times New Roman"/>
        </w:rPr>
        <w:t xml:space="preserve">UNCDF </w:t>
      </w:r>
      <w:r>
        <w:rPr>
          <w:rFonts w:ascii="Times New Roman" w:hAnsi="Times New Roman" w:cs="Times New Roman"/>
        </w:rPr>
        <w:t xml:space="preserve">implemented </w:t>
      </w:r>
      <w:r w:rsidR="00962D4B" w:rsidRPr="00E15444">
        <w:rPr>
          <w:rFonts w:ascii="Times New Roman" w:hAnsi="Times New Roman" w:cs="Times New Roman"/>
        </w:rPr>
        <w:t xml:space="preserve">programmes </w:t>
      </w:r>
      <w:r w:rsidR="00F211CF" w:rsidRPr="00E15444">
        <w:rPr>
          <w:rFonts w:ascii="Times New Roman" w:hAnsi="Times New Roman" w:cs="Times New Roman"/>
        </w:rPr>
        <w:t xml:space="preserve">in </w:t>
      </w:r>
      <w:r w:rsidR="00962D4B" w:rsidRPr="00E15444">
        <w:rPr>
          <w:rFonts w:ascii="Times New Roman" w:hAnsi="Times New Roman" w:cs="Times New Roman"/>
        </w:rPr>
        <w:t>31</w:t>
      </w:r>
      <w:r w:rsidR="00F211CF" w:rsidRPr="00E15444">
        <w:rPr>
          <w:rFonts w:ascii="Times New Roman" w:hAnsi="Times New Roman" w:cs="Times New Roman"/>
        </w:rPr>
        <w:t xml:space="preserve"> of the 47 least developed countries, leveraging its capital mandate to help them pursue inclusive growth.</w:t>
      </w:r>
      <w:r w:rsidR="006132A3" w:rsidRPr="00E15444">
        <w:rPr>
          <w:rFonts w:ascii="Times New Roman" w:hAnsi="Times New Roman" w:cs="Times New Roman"/>
        </w:rPr>
        <w:t xml:space="preserve"> With </w:t>
      </w:r>
      <w:r w:rsidR="00F211CF" w:rsidRPr="00E15444">
        <w:rPr>
          <w:rFonts w:ascii="Times New Roman" w:hAnsi="Times New Roman" w:cs="Times New Roman"/>
        </w:rPr>
        <w:t>its capital mandate and instruments, UNCDF offers ‘last-mile’ finance models through financial inclusion and localized investments that unlock public and private resources, especially at the domestic level, to reduce poverty and support local economic</w:t>
      </w:r>
      <w:r w:rsidR="00F211CF" w:rsidRPr="006132A3">
        <w:rPr>
          <w:rFonts w:ascii="Times New Roman" w:hAnsi="Times New Roman" w:cs="Times New Roman"/>
        </w:rPr>
        <w:t xml:space="preserve"> development. </w:t>
      </w:r>
    </w:p>
    <w:p w14:paraId="6C076858" w14:textId="77777777" w:rsidR="002B7148" w:rsidRDefault="002B7148" w:rsidP="0094343D">
      <w:pPr>
        <w:pStyle w:val="ListParagraph"/>
        <w:rPr>
          <w:rFonts w:ascii="Times New Roman" w:hAnsi="Times New Roman" w:cs="Times New Roman"/>
        </w:rPr>
      </w:pPr>
    </w:p>
    <w:p w14:paraId="733ADB2C" w14:textId="47E42867" w:rsidR="00375588" w:rsidRDefault="00375588" w:rsidP="00375588">
      <w:pPr>
        <w:pStyle w:val="ListParagraph"/>
        <w:rPr>
          <w:rFonts w:ascii="Times New Roman" w:hAnsi="Times New Roman" w:cs="Times New Roman"/>
          <w:b/>
        </w:rPr>
      </w:pPr>
      <w:r>
        <w:rPr>
          <w:rFonts w:ascii="Times New Roman" w:hAnsi="Times New Roman" w:cs="Times New Roman"/>
          <w:b/>
        </w:rPr>
        <w:t>Figure</w:t>
      </w:r>
      <w:r w:rsidRPr="00F65B6F">
        <w:rPr>
          <w:rFonts w:ascii="Times New Roman" w:hAnsi="Times New Roman" w:cs="Times New Roman"/>
          <w:b/>
        </w:rPr>
        <w:t xml:space="preserve"> 1. UNCDF </w:t>
      </w:r>
      <w:r>
        <w:rPr>
          <w:rFonts w:ascii="Times New Roman" w:hAnsi="Times New Roman" w:cs="Times New Roman"/>
          <w:b/>
        </w:rPr>
        <w:t>total revenue</w:t>
      </w:r>
      <w:r w:rsidR="00F0733C">
        <w:rPr>
          <w:rFonts w:ascii="Times New Roman" w:hAnsi="Times New Roman" w:cs="Times New Roman"/>
          <w:b/>
        </w:rPr>
        <w:t xml:space="preserve"> and</w:t>
      </w:r>
      <w:r>
        <w:rPr>
          <w:rFonts w:ascii="Times New Roman" w:hAnsi="Times New Roman" w:cs="Times New Roman"/>
          <w:b/>
        </w:rPr>
        <w:t xml:space="preserve"> expense</w:t>
      </w:r>
      <w:r w:rsidR="00CB0F60">
        <w:rPr>
          <w:rFonts w:ascii="Times New Roman" w:hAnsi="Times New Roman" w:cs="Times New Roman"/>
          <w:b/>
        </w:rPr>
        <w:t xml:space="preserve"> </w:t>
      </w:r>
      <w:r>
        <w:rPr>
          <w:rFonts w:ascii="Times New Roman" w:hAnsi="Times New Roman" w:cs="Times New Roman"/>
          <w:b/>
        </w:rPr>
        <w:t>trend</w:t>
      </w:r>
      <w:r w:rsidR="00AF2447">
        <w:rPr>
          <w:rFonts w:ascii="Times New Roman" w:hAnsi="Times New Roman" w:cs="Times New Roman"/>
          <w:b/>
        </w:rPr>
        <w:t>, 2014-2018</w:t>
      </w:r>
      <w:r w:rsidR="00A15C91">
        <w:rPr>
          <w:rStyle w:val="FootnoteReference"/>
          <w:rFonts w:ascii="Times New Roman" w:hAnsi="Times New Roman" w:cs="Times New Roman"/>
        </w:rPr>
        <w:footnoteReference w:id="2"/>
      </w:r>
      <w:r w:rsidR="00A15C91">
        <w:rPr>
          <w:rFonts w:ascii="Times New Roman" w:hAnsi="Times New Roman" w:cs="Times New Roman"/>
        </w:rPr>
        <w:t xml:space="preserve">  </w:t>
      </w:r>
    </w:p>
    <w:p w14:paraId="33F713B5" w14:textId="77777777" w:rsidR="009A18E5" w:rsidRPr="009A18E5" w:rsidRDefault="009A18E5" w:rsidP="00375588">
      <w:pPr>
        <w:pStyle w:val="ListParagraph"/>
        <w:rPr>
          <w:rFonts w:ascii="Times New Roman" w:hAnsi="Times New Roman" w:cs="Times New Roman"/>
          <w:sz w:val="20"/>
          <w:szCs w:val="20"/>
        </w:rPr>
      </w:pPr>
      <w:r w:rsidRPr="009A18E5">
        <w:rPr>
          <w:rFonts w:ascii="Times New Roman" w:hAnsi="Times New Roman" w:cs="Times New Roman"/>
          <w:sz w:val="20"/>
          <w:szCs w:val="20"/>
        </w:rPr>
        <w:t>(US$ in millions)</w:t>
      </w:r>
    </w:p>
    <w:p w14:paraId="28BBCFD0" w14:textId="226674A5" w:rsidR="00375588" w:rsidRPr="00F65B6F" w:rsidRDefault="00280E7B" w:rsidP="00375588">
      <w:pPr>
        <w:pStyle w:val="ListParagraph"/>
        <w:rPr>
          <w:rFonts w:ascii="Times New Roman" w:hAnsi="Times New Roman" w:cs="Times New Roman"/>
          <w:b/>
        </w:rPr>
      </w:pPr>
      <w:r>
        <w:rPr>
          <w:noProof/>
        </w:rPr>
        <w:drawing>
          <wp:inline distT="0" distB="0" distL="0" distR="0" wp14:anchorId="4F959683" wp14:editId="38BBFEC0">
            <wp:extent cx="4905375" cy="2900363"/>
            <wp:effectExtent l="0" t="0" r="9525" b="14605"/>
            <wp:docPr id="1" name="Chart 1">
              <a:extLst xmlns:a="http://schemas.openxmlformats.org/drawingml/2006/main">
                <a:ext uri="{FF2B5EF4-FFF2-40B4-BE49-F238E27FC236}">
                  <a16:creationId xmlns:a16="http://schemas.microsoft.com/office/drawing/2014/main" id="{D78A2D29-2874-4C0C-AEA4-D9BB089D6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2015DC" w14:textId="77777777" w:rsidR="002B7148" w:rsidRDefault="002B7148" w:rsidP="0094343D">
      <w:pPr>
        <w:pStyle w:val="ListParagraph"/>
        <w:rPr>
          <w:rFonts w:ascii="Times New Roman" w:hAnsi="Times New Roman" w:cs="Times New Roman"/>
        </w:rPr>
      </w:pPr>
    </w:p>
    <w:p w14:paraId="11F374B6" w14:textId="77777777" w:rsidR="0094343D" w:rsidRPr="0094343D" w:rsidRDefault="0094343D" w:rsidP="0094343D">
      <w:pPr>
        <w:pStyle w:val="ListParagraph"/>
        <w:rPr>
          <w:rFonts w:ascii="Times New Roman" w:hAnsi="Times New Roman" w:cs="Times New Roman"/>
        </w:rPr>
      </w:pPr>
    </w:p>
    <w:p w14:paraId="4B576023" w14:textId="48BF8850" w:rsidR="00F65B6F" w:rsidRPr="0004341D" w:rsidRDefault="0094343D" w:rsidP="0004341D">
      <w:pPr>
        <w:pStyle w:val="ListParagraph"/>
        <w:numPr>
          <w:ilvl w:val="0"/>
          <w:numId w:val="1"/>
        </w:numPr>
        <w:rPr>
          <w:rFonts w:ascii="Times New Roman" w:hAnsi="Times New Roman" w:cs="Times New Roman"/>
          <w:b/>
          <w:sz w:val="28"/>
          <w:szCs w:val="28"/>
        </w:rPr>
      </w:pPr>
      <w:r w:rsidRPr="0094343D">
        <w:rPr>
          <w:rFonts w:ascii="Times New Roman" w:hAnsi="Times New Roman" w:cs="Times New Roman"/>
          <w:b/>
          <w:sz w:val="28"/>
          <w:szCs w:val="28"/>
        </w:rPr>
        <w:t>Financial highlights for 2018</w:t>
      </w:r>
    </w:p>
    <w:p w14:paraId="5D3B7404" w14:textId="77777777" w:rsidR="00495283" w:rsidRPr="0094343D" w:rsidRDefault="00495283" w:rsidP="00F65B6F">
      <w:pPr>
        <w:pStyle w:val="ListParagraph"/>
        <w:rPr>
          <w:rFonts w:ascii="Times New Roman" w:hAnsi="Times New Roman" w:cs="Times New Roman"/>
          <w:b/>
          <w:sz w:val="28"/>
          <w:szCs w:val="28"/>
        </w:rPr>
      </w:pPr>
    </w:p>
    <w:p w14:paraId="720FF6AE" w14:textId="77777777" w:rsidR="00F26E33" w:rsidRPr="00F65B6F" w:rsidRDefault="00F26E33" w:rsidP="00F26E33">
      <w:pPr>
        <w:pStyle w:val="ListParagraph"/>
        <w:numPr>
          <w:ilvl w:val="0"/>
          <w:numId w:val="2"/>
        </w:numPr>
        <w:rPr>
          <w:rFonts w:ascii="Times New Roman" w:hAnsi="Times New Roman" w:cs="Times New Roman"/>
          <w:b/>
          <w:sz w:val="24"/>
        </w:rPr>
      </w:pPr>
      <w:r w:rsidRPr="00F65B6F">
        <w:rPr>
          <w:rFonts w:ascii="Times New Roman" w:hAnsi="Times New Roman" w:cs="Times New Roman"/>
          <w:b/>
          <w:sz w:val="24"/>
        </w:rPr>
        <w:t>Summary of UNCDF financial situation</w:t>
      </w:r>
    </w:p>
    <w:p w14:paraId="091476AF" w14:textId="77777777" w:rsidR="00563850" w:rsidRDefault="00563850" w:rsidP="0094343D">
      <w:pPr>
        <w:pStyle w:val="ListParagraph"/>
        <w:rPr>
          <w:rFonts w:ascii="Times New Roman" w:hAnsi="Times New Roman" w:cs="Times New Roman"/>
          <w:b/>
        </w:rPr>
      </w:pPr>
    </w:p>
    <w:p w14:paraId="21F1332D" w14:textId="5B348663" w:rsidR="0094343D" w:rsidRPr="00F65B6F" w:rsidRDefault="0094343D" w:rsidP="0094343D">
      <w:pPr>
        <w:pStyle w:val="ListParagraph"/>
        <w:rPr>
          <w:rFonts w:ascii="Times New Roman" w:hAnsi="Times New Roman" w:cs="Times New Roman"/>
          <w:b/>
        </w:rPr>
      </w:pPr>
      <w:r w:rsidRPr="00F65B6F">
        <w:rPr>
          <w:rFonts w:ascii="Times New Roman" w:hAnsi="Times New Roman" w:cs="Times New Roman"/>
          <w:b/>
        </w:rPr>
        <w:t>Table 1. UNCDF financial situation, 2017-2018</w:t>
      </w:r>
    </w:p>
    <w:p w14:paraId="3D45112D" w14:textId="77777777" w:rsidR="0094343D" w:rsidRDefault="0094343D" w:rsidP="0094343D">
      <w:pPr>
        <w:pStyle w:val="ListParagrap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9"/>
        <w:gridCol w:w="1100"/>
        <w:gridCol w:w="1101"/>
        <w:gridCol w:w="1100"/>
        <w:gridCol w:w="1198"/>
      </w:tblGrid>
      <w:tr w:rsidR="00911152" w:rsidRPr="00F65B6F" w14:paraId="5CB1B70C" w14:textId="77777777" w:rsidTr="005C62C7">
        <w:trPr>
          <w:trHeight w:val="289"/>
        </w:trPr>
        <w:tc>
          <w:tcPr>
            <w:tcW w:w="2479" w:type="dxa"/>
            <w:tcBorders>
              <w:bottom w:val="single" w:sz="4" w:space="0" w:color="auto"/>
            </w:tcBorders>
          </w:tcPr>
          <w:p w14:paraId="1DB0BE4C" w14:textId="77777777" w:rsidR="00F65B6F" w:rsidRPr="00F65B6F" w:rsidRDefault="00F65B6F" w:rsidP="0094343D">
            <w:pPr>
              <w:pStyle w:val="ListParagraph"/>
              <w:ind w:left="0"/>
              <w:rPr>
                <w:rFonts w:ascii="Times New Roman" w:hAnsi="Times New Roman" w:cs="Times New Roman"/>
                <w:sz w:val="20"/>
                <w:szCs w:val="20"/>
              </w:rPr>
            </w:pPr>
            <w:r w:rsidRPr="00F65B6F">
              <w:rPr>
                <w:rFonts w:ascii="Times New Roman" w:hAnsi="Times New Roman" w:cs="Times New Roman"/>
                <w:sz w:val="20"/>
                <w:szCs w:val="20"/>
              </w:rPr>
              <w:t>(US$ in millions)</w:t>
            </w:r>
          </w:p>
        </w:tc>
        <w:tc>
          <w:tcPr>
            <w:tcW w:w="1100" w:type="dxa"/>
            <w:tcBorders>
              <w:bottom w:val="single" w:sz="4" w:space="0" w:color="auto"/>
            </w:tcBorders>
          </w:tcPr>
          <w:p w14:paraId="20812002" w14:textId="77777777" w:rsidR="00F65B6F" w:rsidRPr="00911152" w:rsidRDefault="00F65B6F" w:rsidP="00F65B6F">
            <w:pPr>
              <w:pStyle w:val="ListParagraph"/>
              <w:ind w:left="0"/>
              <w:jc w:val="right"/>
              <w:rPr>
                <w:rFonts w:ascii="Times New Roman" w:hAnsi="Times New Roman" w:cs="Times New Roman"/>
                <w:b/>
                <w:sz w:val="20"/>
                <w:szCs w:val="20"/>
              </w:rPr>
            </w:pPr>
            <w:r w:rsidRPr="00911152">
              <w:rPr>
                <w:rFonts w:ascii="Times New Roman" w:hAnsi="Times New Roman" w:cs="Times New Roman"/>
                <w:b/>
                <w:sz w:val="20"/>
                <w:szCs w:val="20"/>
              </w:rPr>
              <w:t>2018</w:t>
            </w:r>
          </w:p>
        </w:tc>
        <w:tc>
          <w:tcPr>
            <w:tcW w:w="1101" w:type="dxa"/>
            <w:tcBorders>
              <w:bottom w:val="single" w:sz="4" w:space="0" w:color="auto"/>
            </w:tcBorders>
          </w:tcPr>
          <w:p w14:paraId="660ACED3" w14:textId="77777777" w:rsidR="00F65B6F" w:rsidRDefault="00F65B6F" w:rsidP="00F65B6F">
            <w:pPr>
              <w:pStyle w:val="ListParagraph"/>
              <w:ind w:left="0"/>
              <w:jc w:val="right"/>
              <w:rPr>
                <w:rFonts w:ascii="Times New Roman" w:hAnsi="Times New Roman" w:cs="Times New Roman"/>
                <w:b/>
                <w:sz w:val="20"/>
                <w:szCs w:val="20"/>
              </w:rPr>
            </w:pPr>
            <w:r w:rsidRPr="00911152">
              <w:rPr>
                <w:rFonts w:ascii="Times New Roman" w:hAnsi="Times New Roman" w:cs="Times New Roman"/>
                <w:b/>
                <w:sz w:val="20"/>
                <w:szCs w:val="20"/>
              </w:rPr>
              <w:t>2017</w:t>
            </w:r>
          </w:p>
          <w:p w14:paraId="14B5C1A0" w14:textId="3769430D" w:rsidR="005C62C7" w:rsidRPr="00911152" w:rsidRDefault="005C62C7" w:rsidP="00F65B6F">
            <w:pPr>
              <w:pStyle w:val="ListParagraph"/>
              <w:ind w:left="0"/>
              <w:jc w:val="right"/>
              <w:rPr>
                <w:rFonts w:ascii="Times New Roman" w:hAnsi="Times New Roman" w:cs="Times New Roman"/>
                <w:b/>
                <w:sz w:val="20"/>
                <w:szCs w:val="20"/>
              </w:rPr>
            </w:pPr>
            <w:r>
              <w:rPr>
                <w:rFonts w:ascii="Times New Roman" w:hAnsi="Times New Roman" w:cs="Times New Roman"/>
                <w:b/>
                <w:sz w:val="20"/>
                <w:szCs w:val="20"/>
              </w:rPr>
              <w:t>(restated)</w:t>
            </w:r>
          </w:p>
        </w:tc>
        <w:tc>
          <w:tcPr>
            <w:tcW w:w="1100" w:type="dxa"/>
            <w:tcBorders>
              <w:bottom w:val="single" w:sz="4" w:space="0" w:color="auto"/>
            </w:tcBorders>
          </w:tcPr>
          <w:p w14:paraId="1BD1C2E3" w14:textId="77777777" w:rsidR="00F65B6F" w:rsidRPr="00F65B6F" w:rsidRDefault="00F65B6F" w:rsidP="00F65B6F">
            <w:pPr>
              <w:pStyle w:val="ListParagraph"/>
              <w:ind w:left="0"/>
              <w:jc w:val="right"/>
              <w:rPr>
                <w:rFonts w:ascii="Times New Roman" w:hAnsi="Times New Roman" w:cs="Times New Roman"/>
                <w:sz w:val="20"/>
                <w:szCs w:val="20"/>
              </w:rPr>
            </w:pPr>
            <w:r>
              <w:rPr>
                <w:rFonts w:ascii="Times New Roman" w:hAnsi="Times New Roman" w:cs="Times New Roman"/>
                <w:sz w:val="20"/>
                <w:szCs w:val="20"/>
              </w:rPr>
              <w:t>Increase/</w:t>
            </w:r>
            <w:r w:rsidR="005847F8">
              <w:rPr>
                <w:rFonts w:ascii="Times New Roman" w:hAnsi="Times New Roman" w:cs="Times New Roman"/>
                <w:sz w:val="20"/>
                <w:szCs w:val="20"/>
              </w:rPr>
              <w:t xml:space="preserve"> </w:t>
            </w:r>
            <w:r>
              <w:rPr>
                <w:rFonts w:ascii="Times New Roman" w:hAnsi="Times New Roman" w:cs="Times New Roman"/>
                <w:sz w:val="20"/>
                <w:szCs w:val="20"/>
              </w:rPr>
              <w:t>(decrease)</w:t>
            </w:r>
          </w:p>
        </w:tc>
        <w:tc>
          <w:tcPr>
            <w:tcW w:w="1196" w:type="dxa"/>
            <w:tcBorders>
              <w:bottom w:val="single" w:sz="4" w:space="0" w:color="auto"/>
            </w:tcBorders>
          </w:tcPr>
          <w:p w14:paraId="592E34F0" w14:textId="77777777" w:rsidR="00F65B6F" w:rsidRPr="00F65B6F" w:rsidRDefault="00F65B6F" w:rsidP="00F65B6F">
            <w:pPr>
              <w:pStyle w:val="ListParagraph"/>
              <w:ind w:left="0"/>
              <w:jc w:val="right"/>
              <w:rPr>
                <w:rFonts w:ascii="Times New Roman" w:hAnsi="Times New Roman" w:cs="Times New Roman"/>
                <w:sz w:val="20"/>
                <w:szCs w:val="20"/>
              </w:rPr>
            </w:pPr>
            <w:r>
              <w:rPr>
                <w:rFonts w:ascii="Times New Roman" w:hAnsi="Times New Roman" w:cs="Times New Roman"/>
                <w:sz w:val="20"/>
                <w:szCs w:val="20"/>
              </w:rPr>
              <w:t>% change</w:t>
            </w:r>
          </w:p>
        </w:tc>
      </w:tr>
      <w:tr w:rsidR="00911152" w:rsidRPr="00E15444" w14:paraId="3816AA1A" w14:textId="77777777" w:rsidTr="005C62C7">
        <w:trPr>
          <w:trHeight w:val="289"/>
        </w:trPr>
        <w:tc>
          <w:tcPr>
            <w:tcW w:w="2479" w:type="dxa"/>
            <w:tcBorders>
              <w:top w:val="single" w:sz="4" w:space="0" w:color="auto"/>
            </w:tcBorders>
          </w:tcPr>
          <w:p w14:paraId="28C83BBA" w14:textId="33489EDF"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Revenue</w:t>
            </w:r>
            <w:r w:rsidRPr="005847F8">
              <w:rPr>
                <w:rFonts w:eastAsia="Times New Roman"/>
                <w:b/>
                <w:bCs/>
                <w:color w:val="000000"/>
                <w:vertAlign w:val="superscript"/>
              </w:rPr>
              <w:t xml:space="preserve"> </w:t>
            </w:r>
          </w:p>
        </w:tc>
        <w:tc>
          <w:tcPr>
            <w:tcW w:w="1100" w:type="dxa"/>
            <w:tcBorders>
              <w:top w:val="single" w:sz="4" w:space="0" w:color="auto"/>
            </w:tcBorders>
          </w:tcPr>
          <w:p w14:paraId="24A8056B"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69</w:t>
            </w:r>
          </w:p>
        </w:tc>
        <w:tc>
          <w:tcPr>
            <w:tcW w:w="1101" w:type="dxa"/>
            <w:tcBorders>
              <w:top w:val="single" w:sz="4" w:space="0" w:color="auto"/>
            </w:tcBorders>
          </w:tcPr>
          <w:p w14:paraId="5CE4B236"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68</w:t>
            </w:r>
          </w:p>
        </w:tc>
        <w:tc>
          <w:tcPr>
            <w:tcW w:w="1100" w:type="dxa"/>
            <w:tcBorders>
              <w:top w:val="single" w:sz="4" w:space="0" w:color="auto"/>
            </w:tcBorders>
          </w:tcPr>
          <w:p w14:paraId="4C95A160"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w:t>
            </w:r>
          </w:p>
        </w:tc>
        <w:tc>
          <w:tcPr>
            <w:tcW w:w="1196" w:type="dxa"/>
            <w:tcBorders>
              <w:top w:val="single" w:sz="4" w:space="0" w:color="auto"/>
            </w:tcBorders>
          </w:tcPr>
          <w:p w14:paraId="235CBEF6"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w:t>
            </w:r>
          </w:p>
        </w:tc>
      </w:tr>
      <w:tr w:rsidR="00911152" w:rsidRPr="00E15444" w14:paraId="0EA42B0A" w14:textId="77777777" w:rsidTr="005C62C7">
        <w:trPr>
          <w:trHeight w:val="289"/>
        </w:trPr>
        <w:tc>
          <w:tcPr>
            <w:tcW w:w="2479" w:type="dxa"/>
            <w:tcBorders>
              <w:bottom w:val="single" w:sz="4" w:space="0" w:color="auto"/>
            </w:tcBorders>
          </w:tcPr>
          <w:p w14:paraId="58886CE7" w14:textId="04039A25"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Expense</w:t>
            </w:r>
            <w:r w:rsidRPr="005847F8">
              <w:rPr>
                <w:rFonts w:eastAsia="Times New Roman"/>
                <w:b/>
                <w:bCs/>
                <w:color w:val="000000"/>
                <w:vertAlign w:val="superscript"/>
              </w:rPr>
              <w:t xml:space="preserve"> </w:t>
            </w:r>
          </w:p>
        </w:tc>
        <w:tc>
          <w:tcPr>
            <w:tcW w:w="1100" w:type="dxa"/>
            <w:tcBorders>
              <w:bottom w:val="single" w:sz="4" w:space="0" w:color="auto"/>
            </w:tcBorders>
          </w:tcPr>
          <w:p w14:paraId="04C6C25F"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61</w:t>
            </w:r>
          </w:p>
        </w:tc>
        <w:tc>
          <w:tcPr>
            <w:tcW w:w="1101" w:type="dxa"/>
            <w:tcBorders>
              <w:bottom w:val="single" w:sz="4" w:space="0" w:color="auto"/>
            </w:tcBorders>
          </w:tcPr>
          <w:p w14:paraId="581B71EE"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65</w:t>
            </w:r>
          </w:p>
        </w:tc>
        <w:tc>
          <w:tcPr>
            <w:tcW w:w="1100" w:type="dxa"/>
            <w:tcBorders>
              <w:bottom w:val="single" w:sz="4" w:space="0" w:color="auto"/>
            </w:tcBorders>
          </w:tcPr>
          <w:p w14:paraId="2FEE92E0" w14:textId="77777777" w:rsidR="005847F8"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(4)</w:t>
            </w:r>
          </w:p>
        </w:tc>
        <w:tc>
          <w:tcPr>
            <w:tcW w:w="1196" w:type="dxa"/>
            <w:tcBorders>
              <w:bottom w:val="single" w:sz="4" w:space="0" w:color="auto"/>
            </w:tcBorders>
          </w:tcPr>
          <w:p w14:paraId="6E8565ED" w14:textId="77777777" w:rsidR="005847F8"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w:t>
            </w:r>
          </w:p>
        </w:tc>
      </w:tr>
      <w:tr w:rsidR="00911152" w:rsidRPr="00E15444" w14:paraId="44DD7D6B" w14:textId="77777777" w:rsidTr="005C62C7">
        <w:trPr>
          <w:trHeight w:val="289"/>
        </w:trPr>
        <w:tc>
          <w:tcPr>
            <w:tcW w:w="2479" w:type="dxa"/>
            <w:tcBorders>
              <w:top w:val="single" w:sz="4" w:space="0" w:color="auto"/>
              <w:bottom w:val="single" w:sz="4" w:space="0" w:color="auto"/>
            </w:tcBorders>
          </w:tcPr>
          <w:p w14:paraId="4B13CE83"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Surplus</w:t>
            </w:r>
          </w:p>
        </w:tc>
        <w:tc>
          <w:tcPr>
            <w:tcW w:w="1100" w:type="dxa"/>
            <w:tcBorders>
              <w:top w:val="single" w:sz="4" w:space="0" w:color="auto"/>
              <w:bottom w:val="single" w:sz="4" w:space="0" w:color="auto"/>
            </w:tcBorders>
          </w:tcPr>
          <w:p w14:paraId="51E6540D"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8</w:t>
            </w:r>
          </w:p>
        </w:tc>
        <w:tc>
          <w:tcPr>
            <w:tcW w:w="1101" w:type="dxa"/>
            <w:tcBorders>
              <w:top w:val="single" w:sz="4" w:space="0" w:color="auto"/>
              <w:bottom w:val="single" w:sz="4" w:space="0" w:color="auto"/>
            </w:tcBorders>
          </w:tcPr>
          <w:p w14:paraId="0C33561C"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3</w:t>
            </w:r>
          </w:p>
        </w:tc>
        <w:tc>
          <w:tcPr>
            <w:tcW w:w="1100" w:type="dxa"/>
            <w:tcBorders>
              <w:top w:val="single" w:sz="4" w:space="0" w:color="auto"/>
              <w:bottom w:val="single" w:sz="4" w:space="0" w:color="auto"/>
            </w:tcBorders>
          </w:tcPr>
          <w:p w14:paraId="287B2C6A"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5</w:t>
            </w:r>
          </w:p>
        </w:tc>
        <w:tc>
          <w:tcPr>
            <w:tcW w:w="1196" w:type="dxa"/>
            <w:tcBorders>
              <w:top w:val="single" w:sz="4" w:space="0" w:color="auto"/>
              <w:bottom w:val="single" w:sz="4" w:space="0" w:color="auto"/>
            </w:tcBorders>
          </w:tcPr>
          <w:p w14:paraId="1863B9D9" w14:textId="7CB9581A"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N/A</w:t>
            </w:r>
          </w:p>
        </w:tc>
      </w:tr>
      <w:tr w:rsidR="00911152" w:rsidRPr="00E15444" w14:paraId="03F9CEAD" w14:textId="77777777" w:rsidTr="005C62C7">
        <w:trPr>
          <w:trHeight w:val="289"/>
        </w:trPr>
        <w:tc>
          <w:tcPr>
            <w:tcW w:w="2479" w:type="dxa"/>
            <w:tcBorders>
              <w:top w:val="single" w:sz="4" w:space="0" w:color="auto"/>
            </w:tcBorders>
          </w:tcPr>
          <w:p w14:paraId="00214592"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Assets</w:t>
            </w:r>
          </w:p>
        </w:tc>
        <w:tc>
          <w:tcPr>
            <w:tcW w:w="1100" w:type="dxa"/>
            <w:tcBorders>
              <w:top w:val="single" w:sz="4" w:space="0" w:color="auto"/>
            </w:tcBorders>
          </w:tcPr>
          <w:p w14:paraId="1776A166"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220</w:t>
            </w:r>
          </w:p>
        </w:tc>
        <w:tc>
          <w:tcPr>
            <w:tcW w:w="1101" w:type="dxa"/>
            <w:tcBorders>
              <w:top w:val="single" w:sz="4" w:space="0" w:color="auto"/>
            </w:tcBorders>
          </w:tcPr>
          <w:p w14:paraId="3D1A71BD"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183</w:t>
            </w:r>
          </w:p>
        </w:tc>
        <w:tc>
          <w:tcPr>
            <w:tcW w:w="1100" w:type="dxa"/>
            <w:tcBorders>
              <w:top w:val="single" w:sz="4" w:space="0" w:color="auto"/>
            </w:tcBorders>
          </w:tcPr>
          <w:p w14:paraId="3A8A43E5"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37</w:t>
            </w:r>
          </w:p>
        </w:tc>
        <w:tc>
          <w:tcPr>
            <w:tcW w:w="1196" w:type="dxa"/>
            <w:tcBorders>
              <w:top w:val="single" w:sz="4" w:space="0" w:color="auto"/>
            </w:tcBorders>
          </w:tcPr>
          <w:p w14:paraId="655B8B3F"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20%</w:t>
            </w:r>
          </w:p>
        </w:tc>
      </w:tr>
      <w:tr w:rsidR="00911152" w:rsidRPr="00E15444" w14:paraId="20A73963" w14:textId="77777777" w:rsidTr="005C62C7">
        <w:trPr>
          <w:trHeight w:val="289"/>
        </w:trPr>
        <w:tc>
          <w:tcPr>
            <w:tcW w:w="2479" w:type="dxa"/>
            <w:tcBorders>
              <w:bottom w:val="single" w:sz="4" w:space="0" w:color="auto"/>
            </w:tcBorders>
          </w:tcPr>
          <w:p w14:paraId="217A6DB5"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Liabilities</w:t>
            </w:r>
          </w:p>
        </w:tc>
        <w:tc>
          <w:tcPr>
            <w:tcW w:w="1100" w:type="dxa"/>
            <w:tcBorders>
              <w:bottom w:val="single" w:sz="4" w:space="0" w:color="auto"/>
            </w:tcBorders>
          </w:tcPr>
          <w:p w14:paraId="70CF8EB2"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113</w:t>
            </w:r>
          </w:p>
        </w:tc>
        <w:tc>
          <w:tcPr>
            <w:tcW w:w="1101" w:type="dxa"/>
            <w:tcBorders>
              <w:bottom w:val="single" w:sz="4" w:space="0" w:color="auto"/>
            </w:tcBorders>
          </w:tcPr>
          <w:p w14:paraId="65A2299D"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85</w:t>
            </w:r>
          </w:p>
        </w:tc>
        <w:tc>
          <w:tcPr>
            <w:tcW w:w="1100" w:type="dxa"/>
            <w:tcBorders>
              <w:bottom w:val="single" w:sz="4" w:space="0" w:color="auto"/>
            </w:tcBorders>
          </w:tcPr>
          <w:p w14:paraId="19235C0E"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28</w:t>
            </w:r>
          </w:p>
        </w:tc>
        <w:tc>
          <w:tcPr>
            <w:tcW w:w="1196" w:type="dxa"/>
            <w:tcBorders>
              <w:bottom w:val="single" w:sz="4" w:space="0" w:color="auto"/>
            </w:tcBorders>
          </w:tcPr>
          <w:p w14:paraId="7C8F4DC3"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33%</w:t>
            </w:r>
          </w:p>
        </w:tc>
      </w:tr>
      <w:tr w:rsidR="00911152" w:rsidRPr="00E15444" w14:paraId="5EDEAD5D" w14:textId="77777777" w:rsidTr="005C62C7">
        <w:trPr>
          <w:trHeight w:val="289"/>
        </w:trPr>
        <w:tc>
          <w:tcPr>
            <w:tcW w:w="2479" w:type="dxa"/>
            <w:tcBorders>
              <w:top w:val="single" w:sz="4" w:space="0" w:color="auto"/>
              <w:bottom w:val="single" w:sz="4" w:space="0" w:color="auto"/>
            </w:tcBorders>
          </w:tcPr>
          <w:p w14:paraId="4A515512"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Net assets</w:t>
            </w:r>
          </w:p>
        </w:tc>
        <w:tc>
          <w:tcPr>
            <w:tcW w:w="1100" w:type="dxa"/>
            <w:tcBorders>
              <w:top w:val="single" w:sz="4" w:space="0" w:color="auto"/>
              <w:bottom w:val="single" w:sz="4" w:space="0" w:color="auto"/>
            </w:tcBorders>
          </w:tcPr>
          <w:p w14:paraId="2D395FAB"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107</w:t>
            </w:r>
          </w:p>
        </w:tc>
        <w:tc>
          <w:tcPr>
            <w:tcW w:w="1101" w:type="dxa"/>
            <w:tcBorders>
              <w:top w:val="single" w:sz="4" w:space="0" w:color="auto"/>
              <w:bottom w:val="single" w:sz="4" w:space="0" w:color="auto"/>
            </w:tcBorders>
          </w:tcPr>
          <w:p w14:paraId="0D17EB95"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98</w:t>
            </w:r>
          </w:p>
        </w:tc>
        <w:tc>
          <w:tcPr>
            <w:tcW w:w="1100" w:type="dxa"/>
            <w:tcBorders>
              <w:top w:val="single" w:sz="4" w:space="0" w:color="auto"/>
              <w:bottom w:val="single" w:sz="4" w:space="0" w:color="auto"/>
            </w:tcBorders>
          </w:tcPr>
          <w:p w14:paraId="69B5590A"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c>
          <w:tcPr>
            <w:tcW w:w="1196" w:type="dxa"/>
            <w:tcBorders>
              <w:top w:val="single" w:sz="4" w:space="0" w:color="auto"/>
              <w:bottom w:val="single" w:sz="4" w:space="0" w:color="auto"/>
            </w:tcBorders>
          </w:tcPr>
          <w:p w14:paraId="6D25D163"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r>
      <w:tr w:rsidR="00911152" w:rsidRPr="00E15444" w14:paraId="2EE79A80" w14:textId="77777777" w:rsidTr="005C62C7">
        <w:trPr>
          <w:trHeight w:val="289"/>
        </w:trPr>
        <w:tc>
          <w:tcPr>
            <w:tcW w:w="2479" w:type="dxa"/>
            <w:tcBorders>
              <w:top w:val="single" w:sz="4" w:space="0" w:color="auto"/>
            </w:tcBorders>
          </w:tcPr>
          <w:p w14:paraId="1FAD9FEE" w14:textId="77777777" w:rsidR="00F65B6F" w:rsidRPr="005847F8" w:rsidRDefault="00F65B6F" w:rsidP="0094343D">
            <w:pPr>
              <w:pStyle w:val="ListParagraph"/>
              <w:ind w:left="0"/>
              <w:rPr>
                <w:rFonts w:ascii="Times New Roman" w:hAnsi="Times New Roman" w:cs="Times New Roman"/>
                <w:b/>
                <w:sz w:val="20"/>
                <w:szCs w:val="20"/>
                <w:u w:val="single"/>
              </w:rPr>
            </w:pPr>
            <w:r w:rsidRPr="005847F8">
              <w:rPr>
                <w:rFonts w:ascii="Times New Roman" w:hAnsi="Times New Roman" w:cs="Times New Roman"/>
                <w:b/>
                <w:sz w:val="20"/>
                <w:szCs w:val="20"/>
                <w:u w:val="single"/>
              </w:rPr>
              <w:t>Composed of:</w:t>
            </w:r>
          </w:p>
        </w:tc>
        <w:tc>
          <w:tcPr>
            <w:tcW w:w="1100" w:type="dxa"/>
            <w:tcBorders>
              <w:top w:val="single" w:sz="4" w:space="0" w:color="auto"/>
            </w:tcBorders>
          </w:tcPr>
          <w:p w14:paraId="62DD2A73" w14:textId="77777777" w:rsidR="00F65B6F" w:rsidRPr="00E15444" w:rsidRDefault="00F65B6F" w:rsidP="00F65B6F">
            <w:pPr>
              <w:pStyle w:val="ListParagraph"/>
              <w:ind w:left="0"/>
              <w:jc w:val="right"/>
              <w:rPr>
                <w:rFonts w:ascii="Times New Roman" w:hAnsi="Times New Roman" w:cs="Times New Roman"/>
                <w:sz w:val="20"/>
                <w:szCs w:val="20"/>
              </w:rPr>
            </w:pPr>
          </w:p>
        </w:tc>
        <w:tc>
          <w:tcPr>
            <w:tcW w:w="1101" w:type="dxa"/>
            <w:tcBorders>
              <w:top w:val="single" w:sz="4" w:space="0" w:color="auto"/>
            </w:tcBorders>
          </w:tcPr>
          <w:p w14:paraId="59B2786F" w14:textId="77777777" w:rsidR="00F65B6F" w:rsidRPr="00E15444" w:rsidRDefault="00F65B6F" w:rsidP="00F65B6F">
            <w:pPr>
              <w:pStyle w:val="ListParagraph"/>
              <w:ind w:left="0"/>
              <w:jc w:val="right"/>
              <w:rPr>
                <w:rFonts w:ascii="Times New Roman" w:hAnsi="Times New Roman" w:cs="Times New Roman"/>
                <w:sz w:val="20"/>
                <w:szCs w:val="20"/>
              </w:rPr>
            </w:pPr>
          </w:p>
        </w:tc>
        <w:tc>
          <w:tcPr>
            <w:tcW w:w="1100" w:type="dxa"/>
            <w:tcBorders>
              <w:top w:val="single" w:sz="4" w:space="0" w:color="auto"/>
            </w:tcBorders>
          </w:tcPr>
          <w:p w14:paraId="2EC3216D" w14:textId="77777777" w:rsidR="00F65B6F" w:rsidRPr="00E15444" w:rsidRDefault="00F65B6F" w:rsidP="00F65B6F">
            <w:pPr>
              <w:pStyle w:val="ListParagraph"/>
              <w:ind w:left="0"/>
              <w:jc w:val="right"/>
              <w:rPr>
                <w:rFonts w:ascii="Times New Roman" w:hAnsi="Times New Roman" w:cs="Times New Roman"/>
                <w:sz w:val="20"/>
                <w:szCs w:val="20"/>
              </w:rPr>
            </w:pPr>
          </w:p>
        </w:tc>
        <w:tc>
          <w:tcPr>
            <w:tcW w:w="1196" w:type="dxa"/>
            <w:tcBorders>
              <w:top w:val="single" w:sz="4" w:space="0" w:color="auto"/>
            </w:tcBorders>
          </w:tcPr>
          <w:p w14:paraId="0EE62A0B" w14:textId="77777777" w:rsidR="00F65B6F" w:rsidRPr="00E15444" w:rsidRDefault="00F65B6F" w:rsidP="00F65B6F">
            <w:pPr>
              <w:pStyle w:val="ListParagraph"/>
              <w:ind w:left="0"/>
              <w:jc w:val="right"/>
              <w:rPr>
                <w:rFonts w:ascii="Times New Roman" w:hAnsi="Times New Roman" w:cs="Times New Roman"/>
                <w:sz w:val="20"/>
                <w:szCs w:val="20"/>
              </w:rPr>
            </w:pPr>
          </w:p>
        </w:tc>
      </w:tr>
      <w:tr w:rsidR="00F65B6F" w:rsidRPr="00E15444" w14:paraId="6092C50D" w14:textId="77777777" w:rsidTr="005C62C7">
        <w:trPr>
          <w:trHeight w:val="289"/>
        </w:trPr>
        <w:tc>
          <w:tcPr>
            <w:tcW w:w="2479" w:type="dxa"/>
          </w:tcPr>
          <w:p w14:paraId="061EE450"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Accumulated surplus</w:t>
            </w:r>
          </w:p>
        </w:tc>
        <w:tc>
          <w:tcPr>
            <w:tcW w:w="1100" w:type="dxa"/>
          </w:tcPr>
          <w:p w14:paraId="6A29934C"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101</w:t>
            </w:r>
          </w:p>
        </w:tc>
        <w:tc>
          <w:tcPr>
            <w:tcW w:w="1101" w:type="dxa"/>
          </w:tcPr>
          <w:p w14:paraId="5804BA54"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92</w:t>
            </w:r>
          </w:p>
        </w:tc>
        <w:tc>
          <w:tcPr>
            <w:tcW w:w="1100" w:type="dxa"/>
          </w:tcPr>
          <w:p w14:paraId="486CFBB0"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c>
          <w:tcPr>
            <w:tcW w:w="1196" w:type="dxa"/>
          </w:tcPr>
          <w:p w14:paraId="18005A3E"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r>
      <w:tr w:rsidR="00911152" w:rsidRPr="00E15444" w14:paraId="5985CF84" w14:textId="77777777" w:rsidTr="005C62C7">
        <w:trPr>
          <w:trHeight w:val="289"/>
        </w:trPr>
        <w:tc>
          <w:tcPr>
            <w:tcW w:w="2479" w:type="dxa"/>
            <w:tcBorders>
              <w:bottom w:val="single" w:sz="4" w:space="0" w:color="auto"/>
            </w:tcBorders>
          </w:tcPr>
          <w:p w14:paraId="799E7D54" w14:textId="77777777" w:rsidR="00F65B6F" w:rsidRPr="005847F8" w:rsidRDefault="00F65B6F" w:rsidP="0094343D">
            <w:pPr>
              <w:pStyle w:val="ListParagraph"/>
              <w:ind w:left="0"/>
              <w:rPr>
                <w:rFonts w:ascii="Times New Roman" w:hAnsi="Times New Roman" w:cs="Times New Roman"/>
                <w:b/>
                <w:sz w:val="20"/>
                <w:szCs w:val="20"/>
              </w:rPr>
            </w:pPr>
            <w:r w:rsidRPr="005847F8">
              <w:rPr>
                <w:rFonts w:ascii="Times New Roman" w:hAnsi="Times New Roman" w:cs="Times New Roman"/>
                <w:b/>
                <w:sz w:val="20"/>
                <w:szCs w:val="20"/>
              </w:rPr>
              <w:t>Reserves</w:t>
            </w:r>
          </w:p>
        </w:tc>
        <w:tc>
          <w:tcPr>
            <w:tcW w:w="1100" w:type="dxa"/>
            <w:tcBorders>
              <w:bottom w:val="single" w:sz="4" w:space="0" w:color="auto"/>
            </w:tcBorders>
          </w:tcPr>
          <w:p w14:paraId="503AF826"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w:t>
            </w:r>
          </w:p>
        </w:tc>
        <w:tc>
          <w:tcPr>
            <w:tcW w:w="1101" w:type="dxa"/>
            <w:tcBorders>
              <w:bottom w:val="single" w:sz="4" w:space="0" w:color="auto"/>
            </w:tcBorders>
          </w:tcPr>
          <w:p w14:paraId="014EB4BB" w14:textId="77777777" w:rsidR="00F65B6F" w:rsidRPr="00E15444" w:rsidRDefault="00F65B6F"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6</w:t>
            </w:r>
          </w:p>
        </w:tc>
        <w:tc>
          <w:tcPr>
            <w:tcW w:w="1100" w:type="dxa"/>
            <w:tcBorders>
              <w:bottom w:val="single" w:sz="4" w:space="0" w:color="auto"/>
            </w:tcBorders>
          </w:tcPr>
          <w:p w14:paraId="43782521"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w:t>
            </w:r>
          </w:p>
        </w:tc>
        <w:tc>
          <w:tcPr>
            <w:tcW w:w="1196" w:type="dxa"/>
            <w:tcBorders>
              <w:bottom w:val="single" w:sz="4" w:space="0" w:color="auto"/>
            </w:tcBorders>
          </w:tcPr>
          <w:p w14:paraId="7335297F"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w:t>
            </w:r>
          </w:p>
        </w:tc>
      </w:tr>
      <w:tr w:rsidR="00911152" w:rsidRPr="00E15444" w14:paraId="4B146B2C" w14:textId="77777777" w:rsidTr="005C62C7">
        <w:trPr>
          <w:trHeight w:val="289"/>
        </w:trPr>
        <w:tc>
          <w:tcPr>
            <w:tcW w:w="2479" w:type="dxa"/>
            <w:tcBorders>
              <w:top w:val="single" w:sz="4" w:space="0" w:color="auto"/>
              <w:bottom w:val="single" w:sz="4" w:space="0" w:color="auto"/>
            </w:tcBorders>
          </w:tcPr>
          <w:p w14:paraId="7D76E7D2" w14:textId="77777777" w:rsidR="00F65B6F" w:rsidRPr="00F65B6F" w:rsidRDefault="00F65B6F" w:rsidP="0094343D">
            <w:pPr>
              <w:pStyle w:val="ListParagraph"/>
              <w:ind w:left="0"/>
              <w:rPr>
                <w:rFonts w:ascii="Times New Roman" w:hAnsi="Times New Roman" w:cs="Times New Roman"/>
                <w:sz w:val="20"/>
                <w:szCs w:val="20"/>
              </w:rPr>
            </w:pPr>
          </w:p>
        </w:tc>
        <w:tc>
          <w:tcPr>
            <w:tcW w:w="1100" w:type="dxa"/>
            <w:tcBorders>
              <w:top w:val="single" w:sz="4" w:space="0" w:color="auto"/>
              <w:bottom w:val="single" w:sz="4" w:space="0" w:color="auto"/>
            </w:tcBorders>
          </w:tcPr>
          <w:p w14:paraId="55A86091"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107</w:t>
            </w:r>
          </w:p>
        </w:tc>
        <w:tc>
          <w:tcPr>
            <w:tcW w:w="1101" w:type="dxa"/>
            <w:tcBorders>
              <w:top w:val="single" w:sz="4" w:space="0" w:color="auto"/>
              <w:bottom w:val="single" w:sz="4" w:space="0" w:color="auto"/>
            </w:tcBorders>
          </w:tcPr>
          <w:p w14:paraId="378D8F7D"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98</w:t>
            </w:r>
          </w:p>
        </w:tc>
        <w:tc>
          <w:tcPr>
            <w:tcW w:w="1100" w:type="dxa"/>
            <w:tcBorders>
              <w:top w:val="single" w:sz="4" w:space="0" w:color="auto"/>
              <w:bottom w:val="single" w:sz="4" w:space="0" w:color="auto"/>
            </w:tcBorders>
          </w:tcPr>
          <w:p w14:paraId="4CC68F11"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c>
          <w:tcPr>
            <w:tcW w:w="1196" w:type="dxa"/>
            <w:tcBorders>
              <w:top w:val="single" w:sz="4" w:space="0" w:color="auto"/>
              <w:bottom w:val="single" w:sz="4" w:space="0" w:color="auto"/>
            </w:tcBorders>
          </w:tcPr>
          <w:p w14:paraId="786B6526" w14:textId="77777777" w:rsidR="00F65B6F" w:rsidRPr="00E15444" w:rsidRDefault="005847F8" w:rsidP="00F65B6F">
            <w:pPr>
              <w:pStyle w:val="ListParagraph"/>
              <w:ind w:left="0"/>
              <w:jc w:val="right"/>
              <w:rPr>
                <w:rFonts w:ascii="Times New Roman" w:hAnsi="Times New Roman" w:cs="Times New Roman"/>
                <w:sz w:val="20"/>
                <w:szCs w:val="20"/>
              </w:rPr>
            </w:pPr>
            <w:r w:rsidRPr="00E15444">
              <w:rPr>
                <w:rFonts w:ascii="Times New Roman" w:hAnsi="Times New Roman" w:cs="Times New Roman"/>
                <w:sz w:val="20"/>
                <w:szCs w:val="20"/>
              </w:rPr>
              <w:t>9%</w:t>
            </w:r>
          </w:p>
        </w:tc>
      </w:tr>
      <w:tr w:rsidR="005847F8" w:rsidRPr="00F65B6F" w14:paraId="3267D987" w14:textId="77777777" w:rsidTr="005C62C7">
        <w:trPr>
          <w:trHeight w:val="289"/>
        </w:trPr>
        <w:tc>
          <w:tcPr>
            <w:tcW w:w="6978" w:type="dxa"/>
            <w:gridSpan w:val="5"/>
            <w:tcBorders>
              <w:top w:val="single" w:sz="4" w:space="0" w:color="auto"/>
            </w:tcBorders>
          </w:tcPr>
          <w:p w14:paraId="6960674D" w14:textId="4F2E7517" w:rsidR="005847F8" w:rsidRPr="005847F8" w:rsidRDefault="005847F8" w:rsidP="005847F8">
            <w:pPr>
              <w:pStyle w:val="ListParagraph"/>
              <w:ind w:left="0"/>
              <w:rPr>
                <w:rFonts w:eastAsia="Times New Roman"/>
                <w:b/>
                <w:bCs/>
                <w:color w:val="000000"/>
                <w:vertAlign w:val="superscript"/>
              </w:rPr>
            </w:pPr>
          </w:p>
        </w:tc>
      </w:tr>
      <w:tr w:rsidR="00911152" w:rsidRPr="00F65B6F" w14:paraId="78D792A8" w14:textId="77777777" w:rsidTr="005C62C7">
        <w:trPr>
          <w:trHeight w:val="289"/>
        </w:trPr>
        <w:tc>
          <w:tcPr>
            <w:tcW w:w="6978" w:type="dxa"/>
            <w:gridSpan w:val="5"/>
          </w:tcPr>
          <w:p w14:paraId="038AA48E" w14:textId="78A3D5D8" w:rsidR="00911152" w:rsidRPr="00F65B6F" w:rsidRDefault="00911152" w:rsidP="00911152">
            <w:pPr>
              <w:pStyle w:val="ListParagraph"/>
              <w:ind w:left="0"/>
              <w:rPr>
                <w:rFonts w:ascii="Times New Roman" w:hAnsi="Times New Roman" w:cs="Times New Roman"/>
                <w:sz w:val="20"/>
                <w:szCs w:val="20"/>
              </w:rPr>
            </w:pPr>
          </w:p>
        </w:tc>
      </w:tr>
    </w:tbl>
    <w:p w14:paraId="62AC5063" w14:textId="77777777" w:rsidR="00F26E33" w:rsidRPr="00E15444" w:rsidRDefault="00F26E33" w:rsidP="00F26E33">
      <w:pPr>
        <w:pStyle w:val="ListParagraph"/>
        <w:numPr>
          <w:ilvl w:val="0"/>
          <w:numId w:val="2"/>
        </w:numPr>
        <w:rPr>
          <w:rFonts w:ascii="Times New Roman" w:hAnsi="Times New Roman" w:cs="Times New Roman"/>
          <w:b/>
          <w:sz w:val="24"/>
        </w:rPr>
      </w:pPr>
      <w:r w:rsidRPr="00E15444">
        <w:rPr>
          <w:rFonts w:ascii="Times New Roman" w:hAnsi="Times New Roman" w:cs="Times New Roman"/>
          <w:b/>
          <w:sz w:val="24"/>
        </w:rPr>
        <w:t>Revenue</w:t>
      </w:r>
    </w:p>
    <w:p w14:paraId="0794CBC2" w14:textId="77777777" w:rsidR="00B571E8" w:rsidRPr="00E15444" w:rsidRDefault="00B571E8" w:rsidP="00B571E8">
      <w:pPr>
        <w:pStyle w:val="ListParagraph"/>
        <w:rPr>
          <w:rFonts w:ascii="Times New Roman" w:hAnsi="Times New Roman" w:cs="Times New Roman"/>
          <w:b/>
          <w:sz w:val="24"/>
        </w:rPr>
      </w:pPr>
    </w:p>
    <w:p w14:paraId="72598EEA" w14:textId="2AC0C3F9" w:rsidR="009A18E5" w:rsidRPr="00E15444" w:rsidRDefault="008F084F" w:rsidP="008F084F">
      <w:pPr>
        <w:pStyle w:val="ListParagraph"/>
        <w:numPr>
          <w:ilvl w:val="0"/>
          <w:numId w:val="3"/>
        </w:numPr>
        <w:rPr>
          <w:rFonts w:ascii="Times New Roman" w:hAnsi="Times New Roman" w:cs="Times New Roman"/>
        </w:rPr>
      </w:pPr>
      <w:r w:rsidRPr="00E15444">
        <w:rPr>
          <w:rFonts w:ascii="Times New Roman" w:hAnsi="Times New Roman" w:cs="Times New Roman"/>
        </w:rPr>
        <w:t xml:space="preserve">Total revenue, grew by 1 per cent, to $69 million (2017: $68 million). Contributions of $65.7 million (2017: $65.9 million) represent 95 per cent of the total revenue, with the remaining 5 per cent largely consisting of other revenue and investment revenue. </w:t>
      </w:r>
    </w:p>
    <w:p w14:paraId="70CCA51C" w14:textId="77777777" w:rsidR="000C071E" w:rsidRPr="00E15444" w:rsidRDefault="000C071E" w:rsidP="000C071E">
      <w:pPr>
        <w:pStyle w:val="ListParagraph"/>
        <w:ind w:left="1080"/>
        <w:rPr>
          <w:rFonts w:ascii="Times New Roman" w:hAnsi="Times New Roman" w:cs="Times New Roman"/>
        </w:rPr>
      </w:pPr>
    </w:p>
    <w:p w14:paraId="75E717FB" w14:textId="4BCA5198" w:rsidR="008F084F" w:rsidRPr="00E15444" w:rsidRDefault="004577C2" w:rsidP="008F084F">
      <w:pPr>
        <w:pStyle w:val="ListParagraph"/>
        <w:numPr>
          <w:ilvl w:val="0"/>
          <w:numId w:val="3"/>
        </w:numPr>
        <w:rPr>
          <w:rFonts w:ascii="Times New Roman" w:hAnsi="Times New Roman" w:cs="Times New Roman"/>
        </w:rPr>
      </w:pPr>
      <w:r w:rsidRPr="00E15444">
        <w:rPr>
          <w:rFonts w:ascii="Times New Roman" w:hAnsi="Times New Roman" w:cs="Times New Roman"/>
        </w:rPr>
        <w:t>UNCDF</w:t>
      </w:r>
      <w:r w:rsidR="008160A2">
        <w:rPr>
          <w:rFonts w:ascii="Times New Roman" w:hAnsi="Times New Roman" w:cs="Times New Roman"/>
        </w:rPr>
        <w:t>’s</w:t>
      </w:r>
      <w:r w:rsidRPr="00E15444">
        <w:rPr>
          <w:rFonts w:ascii="Times New Roman" w:hAnsi="Times New Roman" w:cs="Times New Roman"/>
        </w:rPr>
        <w:t xml:space="preserve"> contributions are channeled through regular resources and other resources. In 2018, UNCDF’s core and non-core contributions remained constant compared with 2017. The ratio between regular and other resources</w:t>
      </w:r>
      <w:r w:rsidR="00AB19EC" w:rsidRPr="00E15444">
        <w:rPr>
          <w:rFonts w:ascii="Times New Roman" w:hAnsi="Times New Roman" w:cs="Times New Roman"/>
        </w:rPr>
        <w:t xml:space="preserve"> as a percentage of total resources</w:t>
      </w:r>
      <w:r w:rsidRPr="00E15444">
        <w:rPr>
          <w:rFonts w:ascii="Times New Roman" w:hAnsi="Times New Roman" w:cs="Times New Roman"/>
        </w:rPr>
        <w:t xml:space="preserve"> in 2018 </w:t>
      </w:r>
      <w:r w:rsidR="000C071E" w:rsidRPr="00E15444">
        <w:rPr>
          <w:rFonts w:ascii="Times New Roman" w:hAnsi="Times New Roman" w:cs="Times New Roman"/>
        </w:rPr>
        <w:t>remained the same as in 2017, at</w:t>
      </w:r>
      <w:r w:rsidRPr="00E15444">
        <w:rPr>
          <w:rFonts w:ascii="Times New Roman" w:hAnsi="Times New Roman" w:cs="Times New Roman"/>
        </w:rPr>
        <w:t xml:space="preserve"> 15 per cent and 85 per cent, respectively</w:t>
      </w:r>
      <w:r w:rsidR="008F084F" w:rsidRPr="00E15444">
        <w:rPr>
          <w:rFonts w:ascii="Times New Roman" w:hAnsi="Times New Roman" w:cs="Times New Roman"/>
        </w:rPr>
        <w:t xml:space="preserve">. </w:t>
      </w:r>
    </w:p>
    <w:p w14:paraId="318EEC46" w14:textId="77777777" w:rsidR="00757A3C" w:rsidRPr="000C071E" w:rsidRDefault="00757A3C" w:rsidP="000C071E">
      <w:pPr>
        <w:pStyle w:val="ListParagraph"/>
        <w:rPr>
          <w:rFonts w:ascii="Times New Roman" w:hAnsi="Times New Roman" w:cs="Times New Roman"/>
        </w:rPr>
      </w:pPr>
    </w:p>
    <w:p w14:paraId="1BFD0B08" w14:textId="77777777" w:rsidR="00F26E33" w:rsidRDefault="00F26E33" w:rsidP="00F26E33">
      <w:pPr>
        <w:pStyle w:val="ListParagraph"/>
        <w:numPr>
          <w:ilvl w:val="0"/>
          <w:numId w:val="2"/>
        </w:numPr>
        <w:rPr>
          <w:rFonts w:ascii="Times New Roman" w:hAnsi="Times New Roman" w:cs="Times New Roman"/>
        </w:rPr>
      </w:pPr>
      <w:r w:rsidRPr="00027EC0">
        <w:rPr>
          <w:rFonts w:ascii="Times New Roman" w:hAnsi="Times New Roman" w:cs="Times New Roman"/>
          <w:b/>
          <w:sz w:val="24"/>
        </w:rPr>
        <w:t>Expense</w:t>
      </w:r>
    </w:p>
    <w:p w14:paraId="559CFF9B" w14:textId="77777777" w:rsidR="00B571E8" w:rsidRDefault="00B571E8" w:rsidP="00B571E8">
      <w:pPr>
        <w:pStyle w:val="ListParagraph"/>
        <w:rPr>
          <w:rFonts w:ascii="Times New Roman" w:hAnsi="Times New Roman" w:cs="Times New Roman"/>
        </w:rPr>
      </w:pPr>
    </w:p>
    <w:p w14:paraId="0306C503" w14:textId="79586A38" w:rsidR="00B571E8" w:rsidRDefault="00B571E8" w:rsidP="001461A6">
      <w:pPr>
        <w:pStyle w:val="ListParagraph"/>
        <w:numPr>
          <w:ilvl w:val="0"/>
          <w:numId w:val="3"/>
        </w:numPr>
        <w:rPr>
          <w:rFonts w:ascii="Times New Roman" w:hAnsi="Times New Roman" w:cs="Times New Roman"/>
        </w:rPr>
      </w:pPr>
      <w:r w:rsidRPr="0042715B">
        <w:rPr>
          <w:rFonts w:ascii="Times New Roman" w:hAnsi="Times New Roman" w:cs="Times New Roman"/>
        </w:rPr>
        <w:t>Total expenses</w:t>
      </w:r>
      <w:r w:rsidR="00486D31" w:rsidRPr="0042715B">
        <w:rPr>
          <w:rFonts w:ascii="Times New Roman" w:hAnsi="Times New Roman" w:cs="Times New Roman"/>
        </w:rPr>
        <w:t xml:space="preserve"> </w:t>
      </w:r>
      <w:r w:rsidRPr="0042715B">
        <w:rPr>
          <w:rFonts w:ascii="Times New Roman" w:hAnsi="Times New Roman" w:cs="Times New Roman"/>
        </w:rPr>
        <w:t>decreased by $4 million, to $61 million (2017: $65 million), remaining below the level of revenue for the year</w:t>
      </w:r>
      <w:r w:rsidR="0042715B" w:rsidRPr="0042715B">
        <w:rPr>
          <w:rFonts w:ascii="Times New Roman" w:hAnsi="Times New Roman" w:cs="Times New Roman"/>
        </w:rPr>
        <w:t>.</w:t>
      </w:r>
      <w:r w:rsidR="0042715B">
        <w:rPr>
          <w:rFonts w:ascii="Times New Roman" w:hAnsi="Times New Roman" w:cs="Times New Roman"/>
        </w:rPr>
        <w:t xml:space="preserve"> </w:t>
      </w:r>
      <w:r w:rsidR="005A59E0" w:rsidRPr="0042715B">
        <w:rPr>
          <w:rFonts w:ascii="Times New Roman" w:hAnsi="Times New Roman" w:cs="Times New Roman"/>
        </w:rPr>
        <w:t xml:space="preserve">The decrease is mainly due to the impact of project cycles and the increased utilization of </w:t>
      </w:r>
      <w:r w:rsidR="001461A6">
        <w:rPr>
          <w:rFonts w:ascii="Times New Roman" w:hAnsi="Times New Roman" w:cs="Times New Roman"/>
        </w:rPr>
        <w:t xml:space="preserve">new capital instruments i.e. </w:t>
      </w:r>
      <w:r w:rsidR="005A59E0" w:rsidRPr="0042715B">
        <w:rPr>
          <w:rFonts w:ascii="Times New Roman" w:hAnsi="Times New Roman" w:cs="Times New Roman"/>
        </w:rPr>
        <w:t>loans.</w:t>
      </w:r>
    </w:p>
    <w:p w14:paraId="1B2DB9C1" w14:textId="77777777" w:rsidR="001461A6" w:rsidRDefault="001461A6" w:rsidP="001461A6">
      <w:pPr>
        <w:pStyle w:val="ListParagraph"/>
        <w:ind w:left="1080"/>
        <w:rPr>
          <w:rFonts w:ascii="Times New Roman" w:hAnsi="Times New Roman" w:cs="Times New Roman"/>
        </w:rPr>
      </w:pPr>
    </w:p>
    <w:p w14:paraId="66808A15" w14:textId="7CB206F0" w:rsidR="001461A6" w:rsidRPr="0042715B" w:rsidRDefault="001461A6" w:rsidP="001461A6">
      <w:pPr>
        <w:pStyle w:val="ListParagraph"/>
        <w:numPr>
          <w:ilvl w:val="0"/>
          <w:numId w:val="3"/>
        </w:numPr>
        <w:rPr>
          <w:rFonts w:ascii="Times New Roman" w:hAnsi="Times New Roman" w:cs="Times New Roman"/>
        </w:rPr>
      </w:pPr>
      <w:r>
        <w:rPr>
          <w:rFonts w:ascii="Times New Roman" w:hAnsi="Times New Roman" w:cs="Times New Roman"/>
        </w:rPr>
        <w:t>Other capital investment portion of programme delivery includes g</w:t>
      </w:r>
      <w:r w:rsidRPr="0042715B">
        <w:rPr>
          <w:rFonts w:ascii="Times New Roman" w:hAnsi="Times New Roman" w:cs="Times New Roman"/>
        </w:rPr>
        <w:t xml:space="preserve">rants and other transfers amounting to $15 million (2017: </w:t>
      </w:r>
      <w:r>
        <w:rPr>
          <w:rFonts w:ascii="Times New Roman" w:hAnsi="Times New Roman" w:cs="Times New Roman"/>
        </w:rPr>
        <w:t>$</w:t>
      </w:r>
      <w:r w:rsidRPr="0042715B">
        <w:rPr>
          <w:rFonts w:ascii="Times New Roman" w:hAnsi="Times New Roman" w:cs="Times New Roman"/>
        </w:rPr>
        <w:t>19 million)</w:t>
      </w:r>
      <w:r>
        <w:rPr>
          <w:rFonts w:ascii="Times New Roman" w:hAnsi="Times New Roman" w:cs="Times New Roman"/>
        </w:rPr>
        <w:t>.</w:t>
      </w:r>
    </w:p>
    <w:p w14:paraId="2842BBB1" w14:textId="77777777" w:rsidR="00CB0F60" w:rsidRPr="00CB0F60" w:rsidRDefault="00CB0F60" w:rsidP="00CB0F60">
      <w:pPr>
        <w:pStyle w:val="ListParagraph"/>
        <w:rPr>
          <w:rFonts w:ascii="Times New Roman" w:hAnsi="Times New Roman" w:cs="Times New Roman"/>
        </w:rPr>
      </w:pPr>
    </w:p>
    <w:p w14:paraId="42DC8BDB" w14:textId="3C5BF95A" w:rsidR="00F21099" w:rsidRDefault="00F21099" w:rsidP="001461A6">
      <w:pPr>
        <w:pStyle w:val="ListParagraph"/>
        <w:numPr>
          <w:ilvl w:val="0"/>
          <w:numId w:val="3"/>
        </w:numPr>
        <w:rPr>
          <w:rFonts w:ascii="Times New Roman" w:hAnsi="Times New Roman" w:cs="Times New Roman"/>
        </w:rPr>
      </w:pPr>
      <w:r w:rsidRPr="00F21099">
        <w:rPr>
          <w:rFonts w:ascii="Times New Roman" w:hAnsi="Times New Roman" w:cs="Times New Roman"/>
        </w:rPr>
        <w:t>In 2018, of total expenses of $63 million</w:t>
      </w:r>
      <w:r w:rsidR="005C62C7">
        <w:rPr>
          <w:rFonts w:ascii="Times New Roman" w:hAnsi="Times New Roman" w:cs="Times New Roman"/>
        </w:rPr>
        <w:t xml:space="preserve"> (excluding the effect of the elimination of internal cost recovery of $2.1 million)</w:t>
      </w:r>
      <w:r w:rsidR="00D56904">
        <w:rPr>
          <w:rFonts w:ascii="Times New Roman" w:hAnsi="Times New Roman" w:cs="Times New Roman"/>
        </w:rPr>
        <w:t xml:space="preserve">, </w:t>
      </w:r>
      <w:r w:rsidRPr="00F21099">
        <w:rPr>
          <w:rFonts w:ascii="Times New Roman" w:hAnsi="Times New Roman" w:cs="Times New Roman"/>
        </w:rPr>
        <w:t>$5</w:t>
      </w:r>
      <w:r w:rsidR="00CB0F60">
        <w:rPr>
          <w:rFonts w:ascii="Times New Roman" w:hAnsi="Times New Roman" w:cs="Times New Roman"/>
        </w:rPr>
        <w:t>4</w:t>
      </w:r>
      <w:r w:rsidRPr="00F21099">
        <w:rPr>
          <w:rFonts w:ascii="Times New Roman" w:hAnsi="Times New Roman" w:cs="Times New Roman"/>
        </w:rPr>
        <w:t xml:space="preserve"> million (86 per cent) was spent on programme activities, $4.6 million (7 per cent) on development effectiveness and $4.4 million (7 per cent) on management activities.</w:t>
      </w:r>
    </w:p>
    <w:p w14:paraId="21EE3A49" w14:textId="77777777" w:rsidR="004D1E36" w:rsidRPr="004D1E36" w:rsidRDefault="004D1E36" w:rsidP="004D1E36">
      <w:pPr>
        <w:pStyle w:val="ListParagraph"/>
        <w:rPr>
          <w:rFonts w:ascii="Times New Roman" w:hAnsi="Times New Roman" w:cs="Times New Roman"/>
        </w:rPr>
      </w:pPr>
    </w:p>
    <w:p w14:paraId="59FF8599" w14:textId="77777777" w:rsidR="009A18E5" w:rsidRPr="00F26E33" w:rsidRDefault="009A18E5" w:rsidP="009A18E5">
      <w:pPr>
        <w:pStyle w:val="ListParagraph"/>
        <w:rPr>
          <w:rFonts w:ascii="Times New Roman" w:hAnsi="Times New Roman" w:cs="Times New Roman"/>
        </w:rPr>
      </w:pPr>
    </w:p>
    <w:p w14:paraId="3AB52CF4" w14:textId="77777777" w:rsidR="00F26E33" w:rsidRPr="00027EC0" w:rsidRDefault="00F26E33" w:rsidP="00F26E33">
      <w:pPr>
        <w:pStyle w:val="ListParagraph"/>
        <w:numPr>
          <w:ilvl w:val="0"/>
          <w:numId w:val="2"/>
        </w:numPr>
        <w:rPr>
          <w:rFonts w:ascii="Times New Roman" w:hAnsi="Times New Roman" w:cs="Times New Roman"/>
          <w:b/>
          <w:sz w:val="24"/>
        </w:rPr>
      </w:pPr>
      <w:r w:rsidRPr="00027EC0">
        <w:rPr>
          <w:rFonts w:ascii="Times New Roman" w:hAnsi="Times New Roman" w:cs="Times New Roman"/>
          <w:b/>
          <w:sz w:val="24"/>
        </w:rPr>
        <w:t>Others</w:t>
      </w:r>
    </w:p>
    <w:p w14:paraId="538A5578" w14:textId="77777777" w:rsidR="00F21099" w:rsidRDefault="00F21099" w:rsidP="00F21099">
      <w:pPr>
        <w:pStyle w:val="ListParagraph"/>
        <w:rPr>
          <w:rFonts w:ascii="Times New Roman" w:hAnsi="Times New Roman" w:cs="Times New Roman"/>
        </w:rPr>
      </w:pPr>
    </w:p>
    <w:p w14:paraId="7CFDCBB6" w14:textId="77777777" w:rsidR="00F21099" w:rsidRDefault="00F21099" w:rsidP="001461A6">
      <w:pPr>
        <w:pStyle w:val="ListParagraph"/>
        <w:numPr>
          <w:ilvl w:val="0"/>
          <w:numId w:val="3"/>
        </w:numPr>
        <w:rPr>
          <w:rFonts w:ascii="Times New Roman" w:hAnsi="Times New Roman" w:cs="Times New Roman"/>
        </w:rPr>
      </w:pPr>
      <w:r w:rsidRPr="00F21099">
        <w:rPr>
          <w:rFonts w:ascii="Times New Roman" w:hAnsi="Times New Roman" w:cs="Times New Roman"/>
        </w:rPr>
        <w:t xml:space="preserve">In addition, UNCDF received $2.7 million from the UNDP institutional budget and $0.7 million from UNDP programme support to cover management and technical </w:t>
      </w:r>
      <w:r w:rsidRPr="00F21099">
        <w:rPr>
          <w:rFonts w:ascii="Times New Roman" w:hAnsi="Times New Roman" w:cs="Times New Roman"/>
        </w:rPr>
        <w:lastRenderedPageBreak/>
        <w:t>expenditures, respectively. These amounts were expended by UNCDF and reported by UNDP.</w:t>
      </w:r>
    </w:p>
    <w:p w14:paraId="2F7CED45" w14:textId="77777777" w:rsidR="00F21099" w:rsidRDefault="00F21099" w:rsidP="00F21099">
      <w:pPr>
        <w:pStyle w:val="ListParagraph"/>
        <w:ind w:left="1080"/>
        <w:rPr>
          <w:rFonts w:ascii="Times New Roman" w:hAnsi="Times New Roman" w:cs="Times New Roman"/>
        </w:rPr>
      </w:pPr>
    </w:p>
    <w:p w14:paraId="66A7361F" w14:textId="0ACE746F" w:rsidR="00027EC0" w:rsidRPr="00E15444" w:rsidRDefault="00027EC0" w:rsidP="001461A6">
      <w:pPr>
        <w:pStyle w:val="ListParagraph"/>
        <w:numPr>
          <w:ilvl w:val="0"/>
          <w:numId w:val="3"/>
        </w:numPr>
        <w:rPr>
          <w:rFonts w:ascii="Times New Roman" w:hAnsi="Times New Roman" w:cs="Times New Roman"/>
        </w:rPr>
      </w:pPr>
      <w:r w:rsidRPr="00E15444">
        <w:rPr>
          <w:rFonts w:ascii="Times New Roman" w:hAnsi="Times New Roman" w:cs="Times New Roman"/>
        </w:rPr>
        <w:t xml:space="preserve">At the end of 2018, UNCDF held assets of $220 million (2017: $183 million). The increase </w:t>
      </w:r>
      <w:r w:rsidR="00D4730D" w:rsidRPr="00E15444">
        <w:rPr>
          <w:rFonts w:ascii="Times New Roman" w:hAnsi="Times New Roman" w:cs="Times New Roman"/>
        </w:rPr>
        <w:t>(</w:t>
      </w:r>
      <w:r w:rsidR="00F06613" w:rsidRPr="00E15444">
        <w:rPr>
          <w:rFonts w:ascii="Times New Roman" w:hAnsi="Times New Roman" w:cs="Times New Roman"/>
        </w:rPr>
        <w:t>20</w:t>
      </w:r>
      <w:r w:rsidR="000834BC">
        <w:rPr>
          <w:rFonts w:ascii="Times New Roman" w:hAnsi="Times New Roman" w:cs="Times New Roman"/>
        </w:rPr>
        <w:t xml:space="preserve"> per cent</w:t>
      </w:r>
      <w:r w:rsidR="00D4730D" w:rsidRPr="00E15444">
        <w:rPr>
          <w:rFonts w:ascii="Times New Roman" w:hAnsi="Times New Roman" w:cs="Times New Roman"/>
        </w:rPr>
        <w:t xml:space="preserve">) </w:t>
      </w:r>
      <w:r w:rsidRPr="00E15444">
        <w:rPr>
          <w:rFonts w:ascii="Times New Roman" w:hAnsi="Times New Roman" w:cs="Times New Roman"/>
        </w:rPr>
        <w:t>is largely comprised of an increase in cash and investments of $17.1 million (18 per cent) and an increase in non-</w:t>
      </w:r>
      <w:r w:rsidR="00945176" w:rsidRPr="00E15444">
        <w:rPr>
          <w:rFonts w:ascii="Times New Roman" w:hAnsi="Times New Roman" w:cs="Times New Roman"/>
        </w:rPr>
        <w:t>ex</w:t>
      </w:r>
      <w:r w:rsidRPr="00E15444">
        <w:rPr>
          <w:rFonts w:ascii="Times New Roman" w:hAnsi="Times New Roman" w:cs="Times New Roman"/>
        </w:rPr>
        <w:t xml:space="preserve">change </w:t>
      </w:r>
      <w:r w:rsidRPr="000834BC">
        <w:rPr>
          <w:rFonts w:ascii="Times New Roman" w:hAnsi="Times New Roman" w:cs="Times New Roman"/>
        </w:rPr>
        <w:t xml:space="preserve">receivables of $16.6 million (21 per cent). </w:t>
      </w:r>
    </w:p>
    <w:p w14:paraId="37D43D19" w14:textId="77777777" w:rsidR="00027EC0" w:rsidRPr="003C6D07" w:rsidRDefault="00027EC0" w:rsidP="00027EC0">
      <w:pPr>
        <w:pStyle w:val="ListParagraph"/>
        <w:rPr>
          <w:rFonts w:ascii="Times New Roman" w:hAnsi="Times New Roman" w:cs="Times New Roman"/>
        </w:rPr>
      </w:pPr>
    </w:p>
    <w:p w14:paraId="6438A8E5" w14:textId="26806294" w:rsidR="00027EC0" w:rsidRPr="000834BC" w:rsidRDefault="00027EC0" w:rsidP="001461A6">
      <w:pPr>
        <w:pStyle w:val="ListParagraph"/>
        <w:numPr>
          <w:ilvl w:val="0"/>
          <w:numId w:val="3"/>
        </w:numPr>
        <w:rPr>
          <w:rFonts w:ascii="Times New Roman" w:hAnsi="Times New Roman" w:cs="Times New Roman"/>
        </w:rPr>
      </w:pPr>
      <w:r w:rsidRPr="000834BC">
        <w:rPr>
          <w:rFonts w:ascii="Times New Roman" w:hAnsi="Times New Roman" w:cs="Times New Roman"/>
        </w:rPr>
        <w:t xml:space="preserve">At the end of 2018, UNCDF held liabilities of $113 million (2017: $85 million), including $8.6 million (2017: $9.0 million) </w:t>
      </w:r>
      <w:r w:rsidR="00AB19EC" w:rsidRPr="000834BC">
        <w:rPr>
          <w:rFonts w:ascii="Times New Roman" w:hAnsi="Times New Roman" w:cs="Times New Roman"/>
        </w:rPr>
        <w:t xml:space="preserve">in </w:t>
      </w:r>
      <w:r w:rsidRPr="000834BC">
        <w:rPr>
          <w:rFonts w:ascii="Times New Roman" w:hAnsi="Times New Roman" w:cs="Times New Roman"/>
        </w:rPr>
        <w:t>after</w:t>
      </w:r>
      <w:r w:rsidR="00AB19EC" w:rsidRPr="000834BC">
        <w:rPr>
          <w:rFonts w:ascii="Times New Roman" w:hAnsi="Times New Roman" w:cs="Times New Roman"/>
        </w:rPr>
        <w:t>-</w:t>
      </w:r>
      <w:r w:rsidRPr="000834BC">
        <w:rPr>
          <w:rFonts w:ascii="Times New Roman" w:hAnsi="Times New Roman" w:cs="Times New Roman"/>
        </w:rPr>
        <w:t>service health insurance (ASHI) liabilities</w:t>
      </w:r>
      <w:r w:rsidR="00D4730D" w:rsidRPr="000834BC">
        <w:rPr>
          <w:rFonts w:ascii="Times New Roman" w:hAnsi="Times New Roman" w:cs="Times New Roman"/>
        </w:rPr>
        <w:t xml:space="preserve"> </w:t>
      </w:r>
      <w:r w:rsidR="00F64F44" w:rsidRPr="000834BC">
        <w:rPr>
          <w:rFonts w:ascii="Times New Roman" w:hAnsi="Times New Roman" w:cs="Times New Roman"/>
        </w:rPr>
        <w:t>and $92.8 million (2017: $70.0 million) in deferred revenue</w:t>
      </w:r>
      <w:r w:rsidRPr="000834BC">
        <w:rPr>
          <w:rFonts w:ascii="Times New Roman" w:hAnsi="Times New Roman" w:cs="Times New Roman"/>
        </w:rPr>
        <w:t xml:space="preserve">. </w:t>
      </w:r>
      <w:r w:rsidR="00D4730D" w:rsidRPr="000834BC">
        <w:rPr>
          <w:rFonts w:ascii="Times New Roman" w:hAnsi="Times New Roman" w:cs="Times New Roman"/>
        </w:rPr>
        <w:t>UNCDF’s ASHI liabilities continue to be fully funded.</w:t>
      </w:r>
    </w:p>
    <w:p w14:paraId="6CB43799" w14:textId="77777777" w:rsidR="00027EC0" w:rsidRPr="003C6D07" w:rsidRDefault="00027EC0" w:rsidP="00027EC0">
      <w:pPr>
        <w:pStyle w:val="ListParagraph"/>
        <w:ind w:left="1080"/>
        <w:rPr>
          <w:rFonts w:ascii="Times New Roman" w:hAnsi="Times New Roman" w:cs="Times New Roman"/>
        </w:rPr>
      </w:pPr>
    </w:p>
    <w:p w14:paraId="7C56C5BE" w14:textId="32FBB3BC" w:rsidR="00535BD2" w:rsidRPr="000834BC" w:rsidRDefault="00816C0A" w:rsidP="001461A6">
      <w:pPr>
        <w:pStyle w:val="ListParagraph"/>
        <w:numPr>
          <w:ilvl w:val="0"/>
          <w:numId w:val="3"/>
        </w:numPr>
        <w:rPr>
          <w:rFonts w:ascii="Times New Roman" w:hAnsi="Times New Roman" w:cs="Times New Roman"/>
        </w:rPr>
      </w:pPr>
      <w:r w:rsidRPr="000834BC">
        <w:rPr>
          <w:rFonts w:ascii="Times New Roman" w:hAnsi="Times New Roman" w:cs="Times New Roman"/>
        </w:rPr>
        <w:t>Net assets/equity of $10</w:t>
      </w:r>
      <w:r w:rsidR="00967BE2">
        <w:rPr>
          <w:rFonts w:ascii="Times New Roman" w:hAnsi="Times New Roman" w:cs="Times New Roman"/>
        </w:rPr>
        <w:t>7</w:t>
      </w:r>
      <w:r w:rsidRPr="000834BC">
        <w:rPr>
          <w:rFonts w:ascii="Times New Roman" w:hAnsi="Times New Roman" w:cs="Times New Roman"/>
        </w:rPr>
        <w:t xml:space="preserve"> million in 2018</w:t>
      </w:r>
      <w:r w:rsidR="00194A9B">
        <w:rPr>
          <w:rFonts w:ascii="Times New Roman" w:hAnsi="Times New Roman" w:cs="Times New Roman"/>
        </w:rPr>
        <w:t xml:space="preserve"> included $</w:t>
      </w:r>
      <w:r w:rsidR="00C47A1B">
        <w:rPr>
          <w:rFonts w:ascii="Times New Roman" w:hAnsi="Times New Roman" w:cs="Times New Roman"/>
        </w:rPr>
        <w:t>92</w:t>
      </w:r>
      <w:r w:rsidR="00194A9B">
        <w:rPr>
          <w:rFonts w:ascii="Times New Roman" w:hAnsi="Times New Roman" w:cs="Times New Roman"/>
        </w:rPr>
        <w:t xml:space="preserve"> million</w:t>
      </w:r>
      <w:r w:rsidR="00C47A1B">
        <w:rPr>
          <w:rFonts w:ascii="Times New Roman" w:hAnsi="Times New Roman" w:cs="Times New Roman"/>
        </w:rPr>
        <w:t xml:space="preserve"> accumulated surplus</w:t>
      </w:r>
      <w:r w:rsidR="00194A9B">
        <w:rPr>
          <w:rFonts w:ascii="Times New Roman" w:hAnsi="Times New Roman" w:cs="Times New Roman"/>
        </w:rPr>
        <w:t>, $6.4 million for</w:t>
      </w:r>
      <w:r w:rsidR="00194A9B" w:rsidRPr="000834BC">
        <w:rPr>
          <w:rFonts w:ascii="Times New Roman" w:hAnsi="Times New Roman" w:cs="Times New Roman"/>
        </w:rPr>
        <w:t xml:space="preserve"> </w:t>
      </w:r>
      <w:r w:rsidR="007160D0" w:rsidRPr="000834BC">
        <w:rPr>
          <w:rFonts w:ascii="Times New Roman" w:hAnsi="Times New Roman" w:cs="Times New Roman"/>
        </w:rPr>
        <w:t>operational reserve</w:t>
      </w:r>
      <w:r w:rsidR="009C7F30" w:rsidRPr="000834BC">
        <w:rPr>
          <w:rFonts w:ascii="Times New Roman" w:hAnsi="Times New Roman" w:cs="Times New Roman"/>
        </w:rPr>
        <w:t>,</w:t>
      </w:r>
      <w:r w:rsidR="00194A9B">
        <w:rPr>
          <w:rFonts w:ascii="Times New Roman" w:hAnsi="Times New Roman" w:cs="Times New Roman"/>
        </w:rPr>
        <w:t xml:space="preserve"> and $</w:t>
      </w:r>
      <w:r w:rsidR="00967BE2">
        <w:rPr>
          <w:rFonts w:ascii="Times New Roman" w:hAnsi="Times New Roman" w:cs="Times New Roman"/>
        </w:rPr>
        <w:t>8.6</w:t>
      </w:r>
      <w:r w:rsidR="00194A9B">
        <w:rPr>
          <w:rFonts w:ascii="Times New Roman" w:hAnsi="Times New Roman" w:cs="Times New Roman"/>
        </w:rPr>
        <w:t xml:space="preserve"> million for</w:t>
      </w:r>
      <w:r w:rsidR="009C7F30" w:rsidRPr="000834BC">
        <w:rPr>
          <w:rFonts w:ascii="Times New Roman" w:hAnsi="Times New Roman" w:cs="Times New Roman"/>
        </w:rPr>
        <w:t xml:space="preserve"> actuarial gains</w:t>
      </w:r>
      <w:r w:rsidR="00194A9B">
        <w:rPr>
          <w:rFonts w:ascii="Times New Roman" w:hAnsi="Times New Roman" w:cs="Times New Roman"/>
        </w:rPr>
        <w:t xml:space="preserve"> etc</w:t>
      </w:r>
      <w:r w:rsidR="008E176F" w:rsidRPr="000834BC">
        <w:rPr>
          <w:rFonts w:ascii="Times New Roman" w:hAnsi="Times New Roman" w:cs="Times New Roman"/>
        </w:rPr>
        <w:t>.</w:t>
      </w:r>
      <w:r w:rsidR="00C47A1B">
        <w:rPr>
          <w:rFonts w:ascii="Times New Roman" w:hAnsi="Times New Roman" w:cs="Times New Roman"/>
        </w:rPr>
        <w:t xml:space="preserve"> Of the $92 million accumulated surplus, $</w:t>
      </w:r>
      <w:r w:rsidR="00967BE2">
        <w:rPr>
          <w:rFonts w:ascii="Times New Roman" w:hAnsi="Times New Roman" w:cs="Times New Roman"/>
        </w:rPr>
        <w:t>61.9</w:t>
      </w:r>
      <w:r w:rsidR="00C47A1B">
        <w:rPr>
          <w:rFonts w:ascii="Times New Roman" w:hAnsi="Times New Roman" w:cs="Times New Roman"/>
        </w:rPr>
        <w:t xml:space="preserve"> million represents non-core contributions earmarked </w:t>
      </w:r>
      <w:r w:rsidR="00C47A1B" w:rsidRPr="000834BC">
        <w:rPr>
          <w:rFonts w:ascii="Times New Roman" w:hAnsi="Times New Roman" w:cs="Times New Roman"/>
        </w:rPr>
        <w:t>for multi</w:t>
      </w:r>
      <w:r w:rsidR="00C47A1B">
        <w:rPr>
          <w:rFonts w:ascii="Times New Roman" w:hAnsi="Times New Roman" w:cs="Times New Roman"/>
        </w:rPr>
        <w:t>-</w:t>
      </w:r>
      <w:r w:rsidR="00C47A1B" w:rsidRPr="000834BC">
        <w:rPr>
          <w:rFonts w:ascii="Times New Roman" w:hAnsi="Times New Roman" w:cs="Times New Roman"/>
        </w:rPr>
        <w:t>year activities</w:t>
      </w:r>
      <w:r w:rsidR="00C47A1B">
        <w:rPr>
          <w:rFonts w:ascii="Times New Roman" w:hAnsi="Times New Roman" w:cs="Times New Roman"/>
        </w:rPr>
        <w:t xml:space="preserve">; $9.5 million represents non-core contributions </w:t>
      </w:r>
      <w:r w:rsidR="00967BE2">
        <w:rPr>
          <w:rFonts w:ascii="Times New Roman" w:hAnsi="Times New Roman" w:cs="Times New Roman"/>
        </w:rPr>
        <w:t>received</w:t>
      </w:r>
      <w:r w:rsidR="00C47A1B">
        <w:rPr>
          <w:rFonts w:ascii="Times New Roman" w:hAnsi="Times New Roman" w:cs="Times New Roman"/>
        </w:rPr>
        <w:t xml:space="preserve"> in the last quarter of the year and hence only budgeted in 2019 and $</w:t>
      </w:r>
      <w:r w:rsidR="00967BE2">
        <w:rPr>
          <w:rFonts w:ascii="Times New Roman" w:hAnsi="Times New Roman" w:cs="Times New Roman"/>
        </w:rPr>
        <w:t>2</w:t>
      </w:r>
      <w:r w:rsidR="00C47A1B">
        <w:rPr>
          <w:rFonts w:ascii="Times New Roman" w:hAnsi="Times New Roman" w:cs="Times New Roman"/>
        </w:rPr>
        <w:t>0</w:t>
      </w:r>
      <w:r w:rsidR="00967BE2">
        <w:rPr>
          <w:rFonts w:ascii="Times New Roman" w:hAnsi="Times New Roman" w:cs="Times New Roman"/>
        </w:rPr>
        <w:t>.6</w:t>
      </w:r>
      <w:r w:rsidR="00C47A1B">
        <w:rPr>
          <w:rFonts w:ascii="Times New Roman" w:hAnsi="Times New Roman" w:cs="Times New Roman"/>
        </w:rPr>
        <w:t xml:space="preserve"> million </w:t>
      </w:r>
      <w:r w:rsidR="00967BE2">
        <w:rPr>
          <w:rFonts w:ascii="Times New Roman" w:hAnsi="Times New Roman" w:cs="Times New Roman"/>
        </w:rPr>
        <w:t>represents</w:t>
      </w:r>
      <w:r w:rsidR="00C47A1B">
        <w:rPr>
          <w:rFonts w:ascii="Times New Roman" w:hAnsi="Times New Roman" w:cs="Times New Roman"/>
        </w:rPr>
        <w:t xml:space="preserve"> general accumulated balances. </w:t>
      </w:r>
    </w:p>
    <w:p w14:paraId="25B3C344" w14:textId="77777777" w:rsidR="00535BD2" w:rsidRPr="00535BD2" w:rsidRDefault="00535BD2" w:rsidP="00535BD2">
      <w:pPr>
        <w:pStyle w:val="ListParagraph"/>
        <w:ind w:left="1080"/>
        <w:rPr>
          <w:rFonts w:ascii="Times New Roman" w:hAnsi="Times New Roman" w:cs="Times New Roman"/>
        </w:rPr>
      </w:pPr>
    </w:p>
    <w:p w14:paraId="6A2E7E05" w14:textId="02B0651A" w:rsidR="00283667" w:rsidRDefault="00A83C05" w:rsidP="001461A6">
      <w:pPr>
        <w:pStyle w:val="ListParagraph"/>
        <w:numPr>
          <w:ilvl w:val="0"/>
          <w:numId w:val="3"/>
        </w:numPr>
        <w:rPr>
          <w:rFonts w:ascii="Times New Roman" w:hAnsi="Times New Roman" w:cs="Times New Roman"/>
        </w:rPr>
      </w:pPr>
      <w:r>
        <w:rPr>
          <w:rFonts w:ascii="Times New Roman" w:hAnsi="Times New Roman" w:cs="Times New Roman"/>
        </w:rPr>
        <w:t xml:space="preserve">UNCDF continued to apply the UNDP cost recovery policy </w:t>
      </w:r>
      <w:r w:rsidR="00FD009A">
        <w:rPr>
          <w:rFonts w:ascii="Times New Roman" w:hAnsi="Times New Roman" w:cs="Times New Roman"/>
        </w:rPr>
        <w:t xml:space="preserve">and </w:t>
      </w:r>
      <w:r w:rsidR="009E5B55">
        <w:rPr>
          <w:rFonts w:ascii="Times New Roman" w:hAnsi="Times New Roman" w:cs="Times New Roman"/>
        </w:rPr>
        <w:t>minimize</w:t>
      </w:r>
      <w:r w:rsidR="007A6E93">
        <w:rPr>
          <w:rFonts w:ascii="Times New Roman" w:hAnsi="Times New Roman" w:cs="Times New Roman"/>
        </w:rPr>
        <w:t>d</w:t>
      </w:r>
      <w:r w:rsidR="009E5B55">
        <w:rPr>
          <w:rFonts w:ascii="Times New Roman" w:hAnsi="Times New Roman" w:cs="Times New Roman"/>
        </w:rPr>
        <w:t xml:space="preserve"> the number of waivers.  </w:t>
      </w:r>
      <w:r w:rsidR="004D03D0">
        <w:rPr>
          <w:rFonts w:ascii="Times New Roman" w:hAnsi="Times New Roman" w:cs="Times New Roman"/>
        </w:rPr>
        <w:t xml:space="preserve">Only two new waivers in the general management support fee were granted </w:t>
      </w:r>
      <w:r w:rsidR="000C184A">
        <w:rPr>
          <w:rFonts w:ascii="Times New Roman" w:hAnsi="Times New Roman" w:cs="Times New Roman"/>
        </w:rPr>
        <w:t>during 2018.  The financial impact of these two waivers was</w:t>
      </w:r>
      <w:r w:rsidR="00136D72">
        <w:rPr>
          <w:rFonts w:ascii="Times New Roman" w:hAnsi="Times New Roman" w:cs="Times New Roman"/>
        </w:rPr>
        <w:t xml:space="preserve"> minimal and</w:t>
      </w:r>
      <w:r w:rsidR="000C184A">
        <w:rPr>
          <w:rFonts w:ascii="Times New Roman" w:hAnsi="Times New Roman" w:cs="Times New Roman"/>
        </w:rPr>
        <w:t xml:space="preserve"> estimated at </w:t>
      </w:r>
      <w:r w:rsidR="00976CFE">
        <w:rPr>
          <w:rFonts w:ascii="Times New Roman" w:hAnsi="Times New Roman" w:cs="Times New Roman"/>
        </w:rPr>
        <w:t>$</w:t>
      </w:r>
      <w:r w:rsidR="00614E96">
        <w:rPr>
          <w:rFonts w:ascii="Times New Roman" w:hAnsi="Times New Roman" w:cs="Times New Roman"/>
        </w:rPr>
        <w:t>6</w:t>
      </w:r>
      <w:r w:rsidR="00136D72">
        <w:rPr>
          <w:rFonts w:ascii="Times New Roman" w:hAnsi="Times New Roman" w:cs="Times New Roman"/>
        </w:rPr>
        <w:t>,500</w:t>
      </w:r>
      <w:r w:rsidR="00614E96">
        <w:rPr>
          <w:rFonts w:ascii="Times New Roman" w:hAnsi="Times New Roman" w:cs="Times New Roman"/>
        </w:rPr>
        <w:t xml:space="preserve"> only.</w:t>
      </w:r>
    </w:p>
    <w:p w14:paraId="4B9BD9A5" w14:textId="77777777" w:rsidR="00B20BF5" w:rsidRPr="00B20BF5" w:rsidRDefault="00B20BF5" w:rsidP="00B20BF5">
      <w:pPr>
        <w:pStyle w:val="ListParagraph"/>
        <w:rPr>
          <w:rFonts w:ascii="Times New Roman" w:hAnsi="Times New Roman" w:cs="Times New Roman"/>
        </w:rPr>
      </w:pPr>
    </w:p>
    <w:p w14:paraId="34F45603" w14:textId="5F229B60" w:rsidR="0065013D" w:rsidRDefault="00B20BF5" w:rsidP="001461A6">
      <w:pPr>
        <w:pStyle w:val="ListParagraph"/>
        <w:numPr>
          <w:ilvl w:val="0"/>
          <w:numId w:val="3"/>
        </w:numPr>
        <w:rPr>
          <w:rFonts w:ascii="Times New Roman" w:hAnsi="Times New Roman" w:cs="Times New Roman"/>
        </w:rPr>
      </w:pPr>
      <w:r w:rsidRPr="00B3721F">
        <w:rPr>
          <w:rFonts w:ascii="Times New Roman" w:hAnsi="Times New Roman" w:cs="Times New Roman"/>
        </w:rPr>
        <w:t>UNCDF has fully rolled out its new generation of concessional loans and guarantees in 2018 with a strengthened process for due diligence, financial modelling and credit scoring. UNCDF is also piloting an innovative methodology for combining assessments of development impact returns and risks alongside its financial return and credit risk analysis. Based on this new process, UNCDF approved and started disbursements of 1</w:t>
      </w:r>
      <w:r w:rsidR="00136D72" w:rsidRPr="00B3721F">
        <w:rPr>
          <w:rFonts w:ascii="Times New Roman" w:hAnsi="Times New Roman" w:cs="Times New Roman"/>
        </w:rPr>
        <w:t>0</w:t>
      </w:r>
      <w:r w:rsidRPr="00B3721F">
        <w:rPr>
          <w:rFonts w:ascii="Times New Roman" w:hAnsi="Times New Roman" w:cs="Times New Roman"/>
        </w:rPr>
        <w:t xml:space="preserve"> new concessional loans </w:t>
      </w:r>
      <w:r w:rsidR="007408EF" w:rsidRPr="00B3721F">
        <w:rPr>
          <w:rFonts w:ascii="Times New Roman" w:hAnsi="Times New Roman" w:cs="Times New Roman"/>
        </w:rPr>
        <w:t>totaling</w:t>
      </w:r>
      <w:r w:rsidRPr="00B3721F">
        <w:rPr>
          <w:rFonts w:ascii="Times New Roman" w:hAnsi="Times New Roman" w:cs="Times New Roman"/>
        </w:rPr>
        <w:t xml:space="preserve"> $</w:t>
      </w:r>
      <w:r w:rsidR="00B3721F" w:rsidRPr="00B3721F">
        <w:rPr>
          <w:rFonts w:ascii="Times New Roman" w:hAnsi="Times New Roman" w:cs="Times New Roman"/>
        </w:rPr>
        <w:t>1</w:t>
      </w:r>
      <w:r w:rsidRPr="00B3721F">
        <w:rPr>
          <w:rFonts w:ascii="Times New Roman" w:hAnsi="Times New Roman" w:cs="Times New Roman"/>
        </w:rPr>
        <w:t>.</w:t>
      </w:r>
      <w:r w:rsidR="00B3721F" w:rsidRPr="00B3721F">
        <w:rPr>
          <w:rFonts w:ascii="Times New Roman" w:hAnsi="Times New Roman" w:cs="Times New Roman"/>
        </w:rPr>
        <w:t>4</w:t>
      </w:r>
      <w:r w:rsidRPr="00B3721F">
        <w:rPr>
          <w:rFonts w:ascii="Times New Roman" w:hAnsi="Times New Roman" w:cs="Times New Roman"/>
        </w:rPr>
        <w:t xml:space="preserve"> million</w:t>
      </w:r>
      <w:r w:rsidR="00B3721F" w:rsidRPr="00B3721F">
        <w:rPr>
          <w:rFonts w:ascii="Times New Roman" w:hAnsi="Times New Roman" w:cs="Times New Roman"/>
        </w:rPr>
        <w:t xml:space="preserve"> as at 31 December</w:t>
      </w:r>
      <w:r w:rsidRPr="00B3721F">
        <w:rPr>
          <w:rFonts w:ascii="Times New Roman" w:hAnsi="Times New Roman" w:cs="Times New Roman"/>
        </w:rPr>
        <w:t xml:space="preserve"> 2018. The investments were made in the areas of agribusiness, financial inclusion, women’s empowerment and clean energy in Myanmar, Uganda and United Republic of Tanzania. </w:t>
      </w:r>
    </w:p>
    <w:p w14:paraId="294BA367" w14:textId="77777777" w:rsidR="00B3721F" w:rsidRPr="00B3721F" w:rsidRDefault="00B3721F" w:rsidP="00B3721F">
      <w:pPr>
        <w:pStyle w:val="ListParagraph"/>
        <w:rPr>
          <w:rFonts w:ascii="Times New Roman" w:hAnsi="Times New Roman" w:cs="Times New Roman"/>
        </w:rPr>
      </w:pPr>
    </w:p>
    <w:p w14:paraId="45E0B62B" w14:textId="2B4D6308" w:rsidR="00F26E33" w:rsidRDefault="00F26E33" w:rsidP="00F26E33">
      <w:pPr>
        <w:pStyle w:val="ListParagraph"/>
        <w:numPr>
          <w:ilvl w:val="0"/>
          <w:numId w:val="1"/>
        </w:numPr>
        <w:rPr>
          <w:rFonts w:ascii="Times New Roman" w:hAnsi="Times New Roman" w:cs="Times New Roman"/>
          <w:b/>
          <w:sz w:val="28"/>
          <w:szCs w:val="28"/>
        </w:rPr>
      </w:pPr>
      <w:r w:rsidRPr="00B63213">
        <w:rPr>
          <w:rFonts w:ascii="Times New Roman" w:hAnsi="Times New Roman" w:cs="Times New Roman"/>
          <w:b/>
          <w:sz w:val="28"/>
          <w:szCs w:val="28"/>
        </w:rPr>
        <w:t>Partnership</w:t>
      </w:r>
      <w:r w:rsidR="008160A2">
        <w:rPr>
          <w:rFonts w:ascii="Times New Roman" w:hAnsi="Times New Roman" w:cs="Times New Roman"/>
          <w:b/>
          <w:sz w:val="28"/>
          <w:szCs w:val="28"/>
        </w:rPr>
        <w:t>s</w:t>
      </w:r>
    </w:p>
    <w:p w14:paraId="58B96E8E" w14:textId="77777777" w:rsidR="00B63213" w:rsidRPr="00B63213" w:rsidRDefault="00B63213" w:rsidP="00B63213">
      <w:pPr>
        <w:pStyle w:val="ListParagraph"/>
        <w:rPr>
          <w:rFonts w:ascii="Times New Roman" w:hAnsi="Times New Roman" w:cs="Times New Roman"/>
          <w:b/>
          <w:sz w:val="28"/>
          <w:szCs w:val="28"/>
        </w:rPr>
      </w:pPr>
    </w:p>
    <w:p w14:paraId="5CD31CBE" w14:textId="1E1B34B9" w:rsidR="00B63213" w:rsidRDefault="00CF7615" w:rsidP="001461A6">
      <w:pPr>
        <w:pStyle w:val="ListParagraph"/>
        <w:numPr>
          <w:ilvl w:val="0"/>
          <w:numId w:val="3"/>
        </w:numPr>
        <w:rPr>
          <w:rFonts w:ascii="Times New Roman" w:hAnsi="Times New Roman" w:cs="Times New Roman"/>
        </w:rPr>
      </w:pPr>
      <w:r w:rsidRPr="00CF7615">
        <w:rPr>
          <w:rFonts w:ascii="Times New Roman" w:hAnsi="Times New Roman" w:cs="Times New Roman"/>
        </w:rPr>
        <w:t>UN</w:t>
      </w:r>
      <w:r>
        <w:rPr>
          <w:rFonts w:ascii="Times New Roman" w:hAnsi="Times New Roman" w:cs="Times New Roman"/>
        </w:rPr>
        <w:t>CDF</w:t>
      </w:r>
      <w:r w:rsidRPr="00CF7615">
        <w:rPr>
          <w:rFonts w:ascii="Times New Roman" w:hAnsi="Times New Roman" w:cs="Times New Roman"/>
        </w:rPr>
        <w:t xml:space="preserve"> continues to maintain strong partnerships with the governments of donor countries</w:t>
      </w:r>
      <w:r>
        <w:rPr>
          <w:rFonts w:ascii="Times New Roman" w:hAnsi="Times New Roman" w:cs="Times New Roman"/>
        </w:rPr>
        <w:t xml:space="preserve"> </w:t>
      </w:r>
      <w:r w:rsidRPr="00CF7615">
        <w:rPr>
          <w:rFonts w:ascii="Times New Roman" w:hAnsi="Times New Roman" w:cs="Times New Roman"/>
        </w:rPr>
        <w:t>and multilateral partners.</w:t>
      </w:r>
      <w:r w:rsidR="009A18E5" w:rsidRPr="009A18E5">
        <w:rPr>
          <w:rFonts w:ascii="Times New Roman" w:hAnsi="Times New Roman" w:cs="Times New Roman"/>
        </w:rPr>
        <w:t xml:space="preserve"> </w:t>
      </w:r>
      <w:r>
        <w:rPr>
          <w:rFonts w:ascii="Times New Roman" w:hAnsi="Times New Roman" w:cs="Times New Roman"/>
        </w:rPr>
        <w:t xml:space="preserve">Figure </w:t>
      </w:r>
      <w:r w:rsidR="00026827">
        <w:rPr>
          <w:rFonts w:ascii="Times New Roman" w:hAnsi="Times New Roman" w:cs="Times New Roman"/>
        </w:rPr>
        <w:t>2</w:t>
      </w:r>
      <w:r>
        <w:rPr>
          <w:rFonts w:ascii="Times New Roman" w:hAnsi="Times New Roman" w:cs="Times New Roman"/>
        </w:rPr>
        <w:t xml:space="preserve"> shows </w:t>
      </w:r>
      <w:r w:rsidR="00AB19EC">
        <w:rPr>
          <w:rFonts w:ascii="Times New Roman" w:hAnsi="Times New Roman" w:cs="Times New Roman"/>
        </w:rPr>
        <w:t xml:space="preserve">the </w:t>
      </w:r>
      <w:r>
        <w:rPr>
          <w:rFonts w:ascii="Times New Roman" w:hAnsi="Times New Roman" w:cs="Times New Roman"/>
        </w:rPr>
        <w:t xml:space="preserve">total contributions trend from 2014 to 2018 by type of resources. </w:t>
      </w:r>
    </w:p>
    <w:p w14:paraId="52003E5B" w14:textId="77777777" w:rsidR="00667A41" w:rsidRDefault="00667A41" w:rsidP="00CF7615">
      <w:pPr>
        <w:pStyle w:val="ListParagraph"/>
        <w:ind w:left="1080"/>
        <w:rPr>
          <w:rFonts w:ascii="Times New Roman" w:hAnsi="Times New Roman" w:cs="Times New Roman"/>
          <w:b/>
        </w:rPr>
      </w:pPr>
    </w:p>
    <w:p w14:paraId="40B7C8B1" w14:textId="6CB7162B" w:rsidR="00CF7615" w:rsidRPr="00B571E8" w:rsidRDefault="00B3721F" w:rsidP="00CF7615">
      <w:pPr>
        <w:pStyle w:val="ListParagraph"/>
        <w:ind w:left="1080"/>
        <w:rPr>
          <w:rFonts w:ascii="Times New Roman" w:hAnsi="Times New Roman" w:cs="Times New Roman"/>
          <w:b/>
        </w:rPr>
      </w:pPr>
      <w:r>
        <w:rPr>
          <w:rFonts w:ascii="Times New Roman" w:hAnsi="Times New Roman" w:cs="Times New Roman"/>
          <w:b/>
        </w:rPr>
        <w:br w:type="column"/>
      </w:r>
      <w:r w:rsidR="00CF7615" w:rsidRPr="00B571E8">
        <w:rPr>
          <w:rFonts w:ascii="Times New Roman" w:hAnsi="Times New Roman" w:cs="Times New Roman"/>
          <w:b/>
        </w:rPr>
        <w:lastRenderedPageBreak/>
        <w:t xml:space="preserve">Figure </w:t>
      </w:r>
      <w:r w:rsidR="00026827">
        <w:rPr>
          <w:rFonts w:ascii="Times New Roman" w:hAnsi="Times New Roman" w:cs="Times New Roman"/>
          <w:b/>
        </w:rPr>
        <w:t>2</w:t>
      </w:r>
      <w:r w:rsidR="00CF7615" w:rsidRPr="00B571E8">
        <w:rPr>
          <w:rFonts w:ascii="Times New Roman" w:hAnsi="Times New Roman" w:cs="Times New Roman"/>
          <w:b/>
        </w:rPr>
        <w:t xml:space="preserve">. </w:t>
      </w:r>
      <w:r w:rsidR="00CF7615">
        <w:rPr>
          <w:rFonts w:ascii="Times New Roman" w:hAnsi="Times New Roman" w:cs="Times New Roman"/>
          <w:b/>
        </w:rPr>
        <w:t>Total contributions, 2014 -</w:t>
      </w:r>
      <w:r w:rsidR="00CF7615" w:rsidRPr="00B571E8">
        <w:rPr>
          <w:rFonts w:ascii="Times New Roman" w:hAnsi="Times New Roman" w:cs="Times New Roman"/>
          <w:b/>
        </w:rPr>
        <w:t xml:space="preserve"> 2018</w:t>
      </w:r>
    </w:p>
    <w:p w14:paraId="659B1720" w14:textId="77777777" w:rsidR="00CF7615" w:rsidRPr="00B571E8" w:rsidRDefault="00CF7615" w:rsidP="00CF7615">
      <w:pPr>
        <w:pStyle w:val="ListParagraph"/>
        <w:ind w:left="1080"/>
        <w:rPr>
          <w:rFonts w:ascii="Times New Roman" w:hAnsi="Times New Roman" w:cs="Times New Roman"/>
          <w:sz w:val="20"/>
          <w:szCs w:val="20"/>
        </w:rPr>
      </w:pPr>
      <w:r w:rsidRPr="00B571E8">
        <w:rPr>
          <w:rFonts w:ascii="Times New Roman" w:hAnsi="Times New Roman" w:cs="Times New Roman"/>
          <w:sz w:val="20"/>
          <w:szCs w:val="20"/>
        </w:rPr>
        <w:t>(US$ in millions)</w:t>
      </w:r>
    </w:p>
    <w:p w14:paraId="09D304E3" w14:textId="6E460472" w:rsidR="00B63213" w:rsidRDefault="00421245" w:rsidP="00B63213">
      <w:pPr>
        <w:pStyle w:val="ListParagraph"/>
        <w:ind w:left="1080"/>
        <w:rPr>
          <w:rFonts w:ascii="Times New Roman" w:hAnsi="Times New Roman" w:cs="Times New Roman"/>
        </w:rPr>
      </w:pPr>
      <w:r>
        <w:rPr>
          <w:noProof/>
        </w:rPr>
        <w:drawing>
          <wp:inline distT="0" distB="0" distL="0" distR="0" wp14:anchorId="0F256FFF" wp14:editId="274FA5A8">
            <wp:extent cx="4572000" cy="2743200"/>
            <wp:effectExtent l="0" t="0" r="0" b="0"/>
            <wp:docPr id="3" name="Chart 3">
              <a:extLst xmlns:a="http://schemas.openxmlformats.org/drawingml/2006/main">
                <a:ext uri="{FF2B5EF4-FFF2-40B4-BE49-F238E27FC236}">
                  <a16:creationId xmlns:a16="http://schemas.microsoft.com/office/drawing/2014/main" id="{08015AFC-9CC1-442A-80B6-A1B756714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6F3F45" w14:textId="77777777" w:rsidR="00CF7615" w:rsidRDefault="00CF7615" w:rsidP="00B63213">
      <w:pPr>
        <w:pStyle w:val="ListParagraph"/>
        <w:ind w:left="1080"/>
        <w:rPr>
          <w:rFonts w:ascii="Times New Roman" w:hAnsi="Times New Roman" w:cs="Times New Roman"/>
        </w:rPr>
      </w:pPr>
    </w:p>
    <w:p w14:paraId="69DB2CDB" w14:textId="7236D823" w:rsidR="00B63213" w:rsidRDefault="00464811" w:rsidP="001461A6">
      <w:pPr>
        <w:pStyle w:val="ListParagraph"/>
        <w:numPr>
          <w:ilvl w:val="0"/>
          <w:numId w:val="3"/>
        </w:numPr>
        <w:rPr>
          <w:rFonts w:ascii="Times New Roman" w:hAnsi="Times New Roman" w:cs="Times New Roman"/>
        </w:rPr>
      </w:pPr>
      <w:r w:rsidRPr="009A18E5">
        <w:rPr>
          <w:rFonts w:ascii="Times New Roman" w:hAnsi="Times New Roman" w:cs="Times New Roman"/>
        </w:rPr>
        <w:t xml:space="preserve">UNCDF </w:t>
      </w:r>
      <w:r w:rsidR="00AB19EC">
        <w:rPr>
          <w:rFonts w:ascii="Times New Roman" w:hAnsi="Times New Roman" w:cs="Times New Roman"/>
        </w:rPr>
        <w:t xml:space="preserve">continued to diversify its </w:t>
      </w:r>
      <w:r w:rsidR="00673214">
        <w:rPr>
          <w:rFonts w:ascii="Times New Roman" w:hAnsi="Times New Roman" w:cs="Times New Roman"/>
        </w:rPr>
        <w:t>funding partners</w:t>
      </w:r>
      <w:r w:rsidR="00AB19EC">
        <w:rPr>
          <w:rFonts w:ascii="Times New Roman" w:hAnsi="Times New Roman" w:cs="Times New Roman"/>
        </w:rPr>
        <w:t xml:space="preserve">, </w:t>
      </w:r>
      <w:r w:rsidRPr="009A18E5">
        <w:rPr>
          <w:rFonts w:ascii="Times New Roman" w:hAnsi="Times New Roman" w:cs="Times New Roman"/>
        </w:rPr>
        <w:t xml:space="preserve">with 45 development partners contributing </w:t>
      </w:r>
      <w:r w:rsidR="00AB19EC">
        <w:rPr>
          <w:rFonts w:ascii="Times New Roman" w:hAnsi="Times New Roman" w:cs="Times New Roman"/>
        </w:rPr>
        <w:t xml:space="preserve">in 2018 </w:t>
      </w:r>
      <w:r w:rsidRPr="009A18E5">
        <w:rPr>
          <w:rFonts w:ascii="Times New Roman" w:hAnsi="Times New Roman" w:cs="Times New Roman"/>
        </w:rPr>
        <w:t>(compared to 3</w:t>
      </w:r>
      <w:r>
        <w:rPr>
          <w:rFonts w:ascii="Times New Roman" w:hAnsi="Times New Roman" w:cs="Times New Roman"/>
        </w:rPr>
        <w:t>7</w:t>
      </w:r>
      <w:r w:rsidRPr="009A18E5">
        <w:rPr>
          <w:rFonts w:ascii="Times New Roman" w:hAnsi="Times New Roman" w:cs="Times New Roman"/>
        </w:rPr>
        <w:t xml:space="preserve"> in 2017). Contributions included $16.2 million from private sector foundations, corporations and non-governmental organizations, representing 25 per cent of total revenue.</w:t>
      </w:r>
      <w:r>
        <w:rPr>
          <w:rFonts w:ascii="Times New Roman" w:hAnsi="Times New Roman" w:cs="Times New Roman"/>
        </w:rPr>
        <w:t xml:space="preserve"> </w:t>
      </w:r>
      <w:r w:rsidR="00C04E5F">
        <w:rPr>
          <w:rFonts w:ascii="Times New Roman" w:hAnsi="Times New Roman" w:cs="Times New Roman"/>
        </w:rPr>
        <w:t xml:space="preserve">Figure </w:t>
      </w:r>
      <w:r w:rsidR="00026827">
        <w:rPr>
          <w:rFonts w:ascii="Times New Roman" w:hAnsi="Times New Roman" w:cs="Times New Roman"/>
        </w:rPr>
        <w:t>3</w:t>
      </w:r>
      <w:r w:rsidR="00C04E5F">
        <w:rPr>
          <w:rFonts w:ascii="Times New Roman" w:hAnsi="Times New Roman" w:cs="Times New Roman"/>
        </w:rPr>
        <w:t xml:space="preserve"> shows contributions from the</w:t>
      </w:r>
      <w:r w:rsidR="009A18E5" w:rsidRPr="009A18E5">
        <w:rPr>
          <w:rFonts w:ascii="Times New Roman" w:hAnsi="Times New Roman" w:cs="Times New Roman"/>
        </w:rPr>
        <w:t xml:space="preserve"> top </w:t>
      </w:r>
      <w:r w:rsidR="00C04E5F">
        <w:rPr>
          <w:rFonts w:ascii="Times New Roman" w:hAnsi="Times New Roman" w:cs="Times New Roman"/>
        </w:rPr>
        <w:t xml:space="preserve">15 </w:t>
      </w:r>
      <w:r w:rsidR="00026827">
        <w:rPr>
          <w:rFonts w:ascii="Times New Roman" w:hAnsi="Times New Roman" w:cs="Times New Roman"/>
        </w:rPr>
        <w:t>funding partner</w:t>
      </w:r>
      <w:r w:rsidR="009A18E5" w:rsidRPr="009A18E5">
        <w:rPr>
          <w:rFonts w:ascii="Times New Roman" w:hAnsi="Times New Roman" w:cs="Times New Roman"/>
        </w:rPr>
        <w:t>s to UNCDF</w:t>
      </w:r>
      <w:r w:rsidR="00C04E5F">
        <w:rPr>
          <w:rFonts w:ascii="Times New Roman" w:hAnsi="Times New Roman" w:cs="Times New Roman"/>
        </w:rPr>
        <w:t>, which totaled $</w:t>
      </w:r>
      <w:r w:rsidR="00295C52">
        <w:rPr>
          <w:rFonts w:ascii="Times New Roman" w:hAnsi="Times New Roman" w:cs="Times New Roman"/>
        </w:rPr>
        <w:t>60.6 million, representing 92 per cent of total contribution</w:t>
      </w:r>
      <w:r w:rsidR="00AB19EC">
        <w:rPr>
          <w:rFonts w:ascii="Times New Roman" w:hAnsi="Times New Roman" w:cs="Times New Roman"/>
        </w:rPr>
        <w:t>s</w:t>
      </w:r>
      <w:r w:rsidR="00295C52">
        <w:rPr>
          <w:rFonts w:ascii="Times New Roman" w:hAnsi="Times New Roman" w:cs="Times New Roman"/>
        </w:rPr>
        <w:t xml:space="preserve">. </w:t>
      </w:r>
    </w:p>
    <w:p w14:paraId="1854B1E4" w14:textId="77777777" w:rsidR="00C04E5F" w:rsidRPr="00C04E5F" w:rsidRDefault="00C04E5F" w:rsidP="00C04E5F">
      <w:pPr>
        <w:pStyle w:val="ListParagraph"/>
        <w:rPr>
          <w:rFonts w:ascii="Times New Roman" w:hAnsi="Times New Roman" w:cs="Times New Roman"/>
        </w:rPr>
      </w:pPr>
    </w:p>
    <w:p w14:paraId="043933A0" w14:textId="1FA37273" w:rsidR="00295C52" w:rsidRPr="00B571E8" w:rsidRDefault="00295C52" w:rsidP="00295C52">
      <w:pPr>
        <w:pStyle w:val="ListParagraph"/>
        <w:ind w:left="1080"/>
        <w:rPr>
          <w:rFonts w:ascii="Times New Roman" w:hAnsi="Times New Roman" w:cs="Times New Roman"/>
          <w:b/>
        </w:rPr>
      </w:pPr>
      <w:r w:rsidRPr="00B571E8">
        <w:rPr>
          <w:rFonts w:ascii="Times New Roman" w:hAnsi="Times New Roman" w:cs="Times New Roman"/>
          <w:b/>
        </w:rPr>
        <w:t xml:space="preserve">Figure </w:t>
      </w:r>
      <w:r w:rsidR="00026827">
        <w:rPr>
          <w:rFonts w:ascii="Times New Roman" w:hAnsi="Times New Roman" w:cs="Times New Roman"/>
          <w:b/>
        </w:rPr>
        <w:t>3</w:t>
      </w:r>
      <w:r w:rsidRPr="00B571E8">
        <w:rPr>
          <w:rFonts w:ascii="Times New Roman" w:hAnsi="Times New Roman" w:cs="Times New Roman"/>
          <w:b/>
        </w:rPr>
        <w:t xml:space="preserve">. </w:t>
      </w:r>
      <w:r>
        <w:rPr>
          <w:rFonts w:ascii="Times New Roman" w:hAnsi="Times New Roman" w:cs="Times New Roman"/>
          <w:b/>
        </w:rPr>
        <w:t xml:space="preserve">Total contributions, top 15 </w:t>
      </w:r>
      <w:r w:rsidR="008160A2">
        <w:rPr>
          <w:rFonts w:ascii="Times New Roman" w:hAnsi="Times New Roman" w:cs="Times New Roman"/>
          <w:b/>
        </w:rPr>
        <w:t>funding partners</w:t>
      </w:r>
      <w:r w:rsidRPr="00B571E8">
        <w:rPr>
          <w:rFonts w:ascii="Times New Roman" w:hAnsi="Times New Roman" w:cs="Times New Roman"/>
          <w:b/>
        </w:rPr>
        <w:t>, 2018</w:t>
      </w:r>
    </w:p>
    <w:p w14:paraId="217E32A8" w14:textId="77777777" w:rsidR="00295C52" w:rsidRPr="00B571E8" w:rsidRDefault="00295C52" w:rsidP="00295C52">
      <w:pPr>
        <w:pStyle w:val="ListParagraph"/>
        <w:ind w:left="1080"/>
        <w:rPr>
          <w:rFonts w:ascii="Times New Roman" w:hAnsi="Times New Roman" w:cs="Times New Roman"/>
          <w:sz w:val="20"/>
          <w:szCs w:val="20"/>
        </w:rPr>
      </w:pPr>
      <w:r w:rsidRPr="00B571E8">
        <w:rPr>
          <w:rFonts w:ascii="Times New Roman" w:hAnsi="Times New Roman" w:cs="Times New Roman"/>
          <w:sz w:val="20"/>
          <w:szCs w:val="20"/>
        </w:rPr>
        <w:t>(US$ in millions)</w:t>
      </w:r>
    </w:p>
    <w:p w14:paraId="016A0CFC" w14:textId="74050521" w:rsidR="00B63213" w:rsidRPr="000834BC" w:rsidRDefault="00627484" w:rsidP="00B63213">
      <w:pPr>
        <w:pStyle w:val="ListParagraph"/>
        <w:rPr>
          <w:rFonts w:ascii="Times New Roman" w:hAnsi="Times New Roman" w:cs="Times New Roman"/>
        </w:rPr>
      </w:pPr>
      <w:r>
        <w:rPr>
          <w:noProof/>
        </w:rPr>
        <w:drawing>
          <wp:inline distT="0" distB="0" distL="0" distR="0" wp14:anchorId="7FA2C0F0" wp14:editId="10C656E2">
            <wp:extent cx="5114925" cy="3162300"/>
            <wp:effectExtent l="0" t="0" r="9525" b="0"/>
            <wp:docPr id="2" name="Chart 2">
              <a:extLst xmlns:a="http://schemas.openxmlformats.org/drawingml/2006/main">
                <a:ext uri="{FF2B5EF4-FFF2-40B4-BE49-F238E27FC236}">
                  <a16:creationId xmlns:a16="http://schemas.microsoft.com/office/drawing/2014/main" id="{FDE2872B-4AF3-4B25-A013-2CB0BD326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80CAA1" w14:textId="77777777" w:rsidR="00C04E5F" w:rsidRPr="000834BC" w:rsidRDefault="00C04E5F" w:rsidP="00C04E5F">
      <w:pPr>
        <w:pStyle w:val="ListParagraph"/>
        <w:ind w:left="1080"/>
        <w:rPr>
          <w:rFonts w:ascii="Times New Roman" w:hAnsi="Times New Roman" w:cs="Times New Roman"/>
        </w:rPr>
      </w:pPr>
    </w:p>
    <w:p w14:paraId="53EA6D56" w14:textId="264DEC13" w:rsidR="009A18E5" w:rsidRDefault="009A18E5" w:rsidP="001461A6">
      <w:pPr>
        <w:pStyle w:val="ListParagraph"/>
        <w:numPr>
          <w:ilvl w:val="0"/>
          <w:numId w:val="3"/>
        </w:numPr>
        <w:rPr>
          <w:rFonts w:ascii="Times New Roman" w:hAnsi="Times New Roman" w:cs="Times New Roman"/>
        </w:rPr>
      </w:pPr>
      <w:r w:rsidRPr="000834BC">
        <w:rPr>
          <w:rFonts w:ascii="Times New Roman" w:hAnsi="Times New Roman" w:cs="Times New Roman"/>
        </w:rPr>
        <w:t xml:space="preserve">Contributions to UNCDF regular resources from </w:t>
      </w:r>
      <w:r w:rsidR="008160A2">
        <w:rPr>
          <w:rFonts w:ascii="Times New Roman" w:hAnsi="Times New Roman" w:cs="Times New Roman"/>
        </w:rPr>
        <w:t>funding partners</w:t>
      </w:r>
      <w:r w:rsidRPr="000834BC">
        <w:rPr>
          <w:rFonts w:ascii="Times New Roman" w:hAnsi="Times New Roman" w:cs="Times New Roman"/>
        </w:rPr>
        <w:t xml:space="preserve"> increased to $9.9 million (2017: $9.7 million). </w:t>
      </w:r>
      <w:r w:rsidR="00B63213" w:rsidRPr="000834BC">
        <w:rPr>
          <w:rFonts w:ascii="Times New Roman" w:hAnsi="Times New Roman" w:cs="Times New Roman"/>
        </w:rPr>
        <w:t xml:space="preserve">Despite increased </w:t>
      </w:r>
      <w:r w:rsidR="008160A2">
        <w:rPr>
          <w:rFonts w:ascii="Times New Roman" w:hAnsi="Times New Roman" w:cs="Times New Roman"/>
        </w:rPr>
        <w:t>funding partner</w:t>
      </w:r>
      <w:r w:rsidR="00B63213" w:rsidRPr="000834BC">
        <w:rPr>
          <w:rFonts w:ascii="Times New Roman" w:hAnsi="Times New Roman" w:cs="Times New Roman"/>
        </w:rPr>
        <w:t xml:space="preserve"> diversification in recent years, UNCDF continues to be dependent on a limited number of </w:t>
      </w:r>
      <w:r w:rsidR="008160A2">
        <w:rPr>
          <w:rFonts w:ascii="Times New Roman" w:hAnsi="Times New Roman" w:cs="Times New Roman"/>
        </w:rPr>
        <w:t>funding partners</w:t>
      </w:r>
      <w:r w:rsidR="00B63213" w:rsidRPr="000834BC">
        <w:rPr>
          <w:rFonts w:ascii="Times New Roman" w:hAnsi="Times New Roman" w:cs="Times New Roman"/>
        </w:rPr>
        <w:t xml:space="preserve"> for contributions to regular resources. Regular resources contributions remain short of the </w:t>
      </w:r>
      <w:r w:rsidR="00B63213" w:rsidRPr="000834BC">
        <w:rPr>
          <w:rFonts w:ascii="Times New Roman" w:hAnsi="Times New Roman" w:cs="Times New Roman"/>
        </w:rPr>
        <w:lastRenderedPageBreak/>
        <w:t>$25 million annual target required to extend UNCDF operations to 40 of the 47 least developed countries, as envisaged in the UNCDF Strategic Framework, 2018-2021. This shortfall strains</w:t>
      </w:r>
      <w:r w:rsidR="00B63213" w:rsidRPr="00B63213">
        <w:rPr>
          <w:rFonts w:ascii="Times New Roman" w:hAnsi="Times New Roman" w:cs="Times New Roman"/>
        </w:rPr>
        <w:t xml:space="preserve"> the ability of the Fund to innovate</w:t>
      </w:r>
      <w:r w:rsidR="004611C3">
        <w:rPr>
          <w:rFonts w:ascii="Times New Roman" w:hAnsi="Times New Roman" w:cs="Times New Roman"/>
        </w:rPr>
        <w:t xml:space="preserve"> </w:t>
      </w:r>
      <w:r w:rsidR="00CB56A3">
        <w:rPr>
          <w:rFonts w:ascii="Times New Roman" w:hAnsi="Times New Roman" w:cs="Times New Roman"/>
        </w:rPr>
        <w:t xml:space="preserve">and to assure presence in the </w:t>
      </w:r>
      <w:r w:rsidR="00B63213" w:rsidRPr="00B63213">
        <w:rPr>
          <w:rFonts w:ascii="Times New Roman" w:hAnsi="Times New Roman" w:cs="Times New Roman"/>
        </w:rPr>
        <w:t>40 LDCs projected in the Strategic Framework</w:t>
      </w:r>
      <w:r w:rsidR="00CB56A3">
        <w:rPr>
          <w:rFonts w:ascii="Times New Roman" w:hAnsi="Times New Roman" w:cs="Times New Roman"/>
        </w:rPr>
        <w:t xml:space="preserve"> (against an actual of 31 in 2018)</w:t>
      </w:r>
      <w:r w:rsidRPr="009A18E5">
        <w:rPr>
          <w:rFonts w:ascii="Times New Roman" w:hAnsi="Times New Roman" w:cs="Times New Roman"/>
        </w:rPr>
        <w:t>.</w:t>
      </w:r>
    </w:p>
    <w:p w14:paraId="6371624B" w14:textId="77777777" w:rsidR="00B63213" w:rsidRPr="00B63213" w:rsidRDefault="00B63213" w:rsidP="00B63213">
      <w:pPr>
        <w:pStyle w:val="ListParagraph"/>
        <w:rPr>
          <w:rFonts w:ascii="Times New Roman" w:hAnsi="Times New Roman" w:cs="Times New Roman"/>
        </w:rPr>
      </w:pPr>
    </w:p>
    <w:p w14:paraId="29DC6D0C" w14:textId="69334695" w:rsidR="00476E50" w:rsidRPr="00C53AD0" w:rsidRDefault="00DC62FB" w:rsidP="001461A6">
      <w:pPr>
        <w:pStyle w:val="ListParagraph"/>
        <w:numPr>
          <w:ilvl w:val="0"/>
          <w:numId w:val="3"/>
        </w:numPr>
        <w:rPr>
          <w:rFonts w:ascii="Times New Roman" w:hAnsi="Times New Roman" w:cs="Times New Roman"/>
        </w:rPr>
      </w:pPr>
      <w:r w:rsidRPr="00C53AD0">
        <w:rPr>
          <w:rFonts w:ascii="Times New Roman" w:hAnsi="Times New Roman" w:cs="Times New Roman"/>
        </w:rPr>
        <w:t xml:space="preserve">UNCDF has met its </w:t>
      </w:r>
      <w:r w:rsidR="00CB56A3">
        <w:rPr>
          <w:rFonts w:ascii="Times New Roman" w:hAnsi="Times New Roman" w:cs="Times New Roman"/>
        </w:rPr>
        <w:t>“</w:t>
      </w:r>
      <w:r w:rsidR="00C53AD0" w:rsidRPr="00C53AD0">
        <w:rPr>
          <w:rFonts w:ascii="Times New Roman" w:hAnsi="Times New Roman" w:cs="Times New Roman"/>
        </w:rPr>
        <w:t>baseline</w:t>
      </w:r>
      <w:r w:rsidR="00CB56A3">
        <w:rPr>
          <w:rFonts w:ascii="Times New Roman" w:hAnsi="Times New Roman" w:cs="Times New Roman"/>
        </w:rPr>
        <w:t>”</w:t>
      </w:r>
      <w:r w:rsidR="00C53AD0" w:rsidRPr="00C53AD0">
        <w:rPr>
          <w:rFonts w:ascii="Times New Roman" w:hAnsi="Times New Roman" w:cs="Times New Roman"/>
        </w:rPr>
        <w:t xml:space="preserve"> </w:t>
      </w:r>
      <w:r w:rsidRPr="00C53AD0">
        <w:rPr>
          <w:rFonts w:ascii="Times New Roman" w:hAnsi="Times New Roman" w:cs="Times New Roman"/>
        </w:rPr>
        <w:t xml:space="preserve">resource mobilization targets </w:t>
      </w:r>
      <w:r w:rsidR="00CB56A3">
        <w:rPr>
          <w:rFonts w:ascii="Times New Roman" w:hAnsi="Times New Roman" w:cs="Times New Roman"/>
        </w:rPr>
        <w:t xml:space="preserve">(per the UNCDF Strategic Framework funding scenarios) </w:t>
      </w:r>
      <w:r w:rsidRPr="00C53AD0">
        <w:rPr>
          <w:rFonts w:ascii="Times New Roman" w:hAnsi="Times New Roman" w:cs="Times New Roman"/>
        </w:rPr>
        <w:t>for the other resources reaching $</w:t>
      </w:r>
      <w:r w:rsidR="00476E50" w:rsidRPr="00C53AD0">
        <w:rPr>
          <w:rFonts w:ascii="Times New Roman" w:hAnsi="Times New Roman" w:cs="Times New Roman"/>
        </w:rPr>
        <w:t xml:space="preserve">55.8 </w:t>
      </w:r>
      <w:r w:rsidRPr="00C53AD0">
        <w:rPr>
          <w:rFonts w:ascii="Times New Roman" w:hAnsi="Times New Roman" w:cs="Times New Roman"/>
        </w:rPr>
        <w:t>m</w:t>
      </w:r>
      <w:r w:rsidR="00476E50" w:rsidRPr="00C53AD0">
        <w:rPr>
          <w:rFonts w:ascii="Times New Roman" w:hAnsi="Times New Roman" w:cs="Times New Roman"/>
        </w:rPr>
        <w:t>illion</w:t>
      </w:r>
      <w:r w:rsidRPr="00C53AD0">
        <w:rPr>
          <w:rFonts w:ascii="Times New Roman" w:hAnsi="Times New Roman" w:cs="Times New Roman"/>
        </w:rPr>
        <w:t xml:space="preserve"> in 2018. This reflects continued commitment </w:t>
      </w:r>
      <w:r w:rsidR="00CB56A3">
        <w:rPr>
          <w:rFonts w:ascii="Times New Roman" w:hAnsi="Times New Roman" w:cs="Times New Roman"/>
        </w:rPr>
        <w:t>to</w:t>
      </w:r>
      <w:r w:rsidR="00CB56A3" w:rsidRPr="00C53AD0">
        <w:rPr>
          <w:rFonts w:ascii="Times New Roman" w:hAnsi="Times New Roman" w:cs="Times New Roman"/>
        </w:rPr>
        <w:t xml:space="preserve"> </w:t>
      </w:r>
      <w:r w:rsidRPr="00C53AD0">
        <w:rPr>
          <w:rFonts w:ascii="Times New Roman" w:hAnsi="Times New Roman" w:cs="Times New Roman"/>
        </w:rPr>
        <w:t>UNCDF from its partners,</w:t>
      </w:r>
      <w:r w:rsidR="00CB56A3">
        <w:rPr>
          <w:rFonts w:ascii="Times New Roman" w:hAnsi="Times New Roman" w:cs="Times New Roman"/>
        </w:rPr>
        <w:t xml:space="preserve"> and provides a solid foundation on which to build scale for the more ambitious targets sought in the Strategic Framework</w:t>
      </w:r>
      <w:r w:rsidRPr="00C53AD0">
        <w:rPr>
          <w:rFonts w:ascii="Times New Roman" w:hAnsi="Times New Roman" w:cs="Times New Roman"/>
        </w:rPr>
        <w:t xml:space="preserve">. </w:t>
      </w:r>
    </w:p>
    <w:p w14:paraId="0921E859" w14:textId="77777777" w:rsidR="00476E50" w:rsidRPr="00476E50" w:rsidRDefault="00476E50" w:rsidP="00476E50">
      <w:pPr>
        <w:pStyle w:val="ListParagraph"/>
        <w:ind w:left="1080"/>
        <w:rPr>
          <w:rFonts w:ascii="Times New Roman" w:hAnsi="Times New Roman" w:cs="Times New Roman"/>
        </w:rPr>
      </w:pPr>
    </w:p>
    <w:sectPr w:rsidR="00476E50" w:rsidRPr="00476E50" w:rsidSect="00913D3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CD12" w14:textId="77777777" w:rsidR="00F95A92" w:rsidRDefault="00F95A92" w:rsidP="00CB6F05">
      <w:pPr>
        <w:spacing w:after="0" w:line="240" w:lineRule="auto"/>
      </w:pPr>
      <w:r>
        <w:separator/>
      </w:r>
    </w:p>
  </w:endnote>
  <w:endnote w:type="continuationSeparator" w:id="0">
    <w:p w14:paraId="7BDC7165" w14:textId="77777777" w:rsidR="00F95A92" w:rsidRDefault="00F95A92" w:rsidP="00CB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74FF" w14:textId="77777777" w:rsidR="00CB6F05" w:rsidRDefault="00CB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54B" w14:textId="77777777" w:rsidR="00CB6F05" w:rsidRDefault="00CB6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0D15" w14:textId="77777777" w:rsidR="00CB6F05" w:rsidRDefault="00CB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C607" w14:textId="77777777" w:rsidR="00F95A92" w:rsidRDefault="00F95A92" w:rsidP="00CB6F05">
      <w:pPr>
        <w:spacing w:after="0" w:line="240" w:lineRule="auto"/>
      </w:pPr>
      <w:r>
        <w:separator/>
      </w:r>
    </w:p>
  </w:footnote>
  <w:footnote w:type="continuationSeparator" w:id="0">
    <w:p w14:paraId="67775DE6" w14:textId="77777777" w:rsidR="00F95A92" w:rsidRDefault="00F95A92" w:rsidP="00CB6F05">
      <w:pPr>
        <w:spacing w:after="0" w:line="240" w:lineRule="auto"/>
      </w:pPr>
      <w:r>
        <w:continuationSeparator/>
      </w:r>
    </w:p>
  </w:footnote>
  <w:footnote w:id="1">
    <w:p w14:paraId="278868E6" w14:textId="49E2C8AA" w:rsidR="008160A2" w:rsidRDefault="008160A2">
      <w:pPr>
        <w:pStyle w:val="FootnoteText"/>
      </w:pPr>
      <w:r>
        <w:rPr>
          <w:rStyle w:val="FootnoteReference"/>
        </w:rPr>
        <w:footnoteRef/>
      </w:r>
      <w:r>
        <w:t xml:space="preserve"> </w:t>
      </w:r>
      <w:r>
        <w:rPr>
          <w:rFonts w:ascii="Times New Roman" w:hAnsi="Times New Roman" w:cs="Times New Roman"/>
        </w:rPr>
        <w:t xml:space="preserve">In the past, UNCDF’s financial information was included as a distinct section within UNDP’s Annual Review of the Financial Situation report. In line with the findings of an observation by the United Nations Board of Auditors, moving forward UNCDF matters will be presented to the Executive Board directly. Thus the UNCDF Annual </w:t>
      </w:r>
      <w:r w:rsidRPr="00E15444">
        <w:rPr>
          <w:rFonts w:ascii="Times New Roman" w:hAnsi="Times New Roman" w:cs="Times New Roman"/>
        </w:rPr>
        <w:t>Review of the Financial Situation, 2018 is presented as a separate item.</w:t>
      </w:r>
    </w:p>
  </w:footnote>
  <w:footnote w:id="2">
    <w:p w14:paraId="6FAD0B43" w14:textId="69D6358D" w:rsidR="00A15C91" w:rsidRPr="00A15C91" w:rsidRDefault="00A15C91" w:rsidP="00A15C91">
      <w:pPr>
        <w:pStyle w:val="FootnoteText"/>
        <w:rPr>
          <w:rFonts w:ascii="Times New Roman" w:hAnsi="Times New Roman" w:cs="Times New Roman"/>
        </w:rPr>
      </w:pPr>
      <w:r w:rsidRPr="00C53AD0">
        <w:rPr>
          <w:rStyle w:val="FootnoteReference"/>
          <w:rFonts w:ascii="Times New Roman" w:hAnsi="Times New Roman" w:cs="Times New Roman"/>
        </w:rPr>
        <w:footnoteRef/>
      </w:r>
      <w:r>
        <w:t xml:space="preserve"> </w:t>
      </w:r>
      <w:r w:rsidRPr="00A15C91">
        <w:rPr>
          <w:rFonts w:ascii="Times New Roman" w:hAnsi="Times New Roman" w:cs="Times New Roman"/>
        </w:rPr>
        <w:t xml:space="preserve">The </w:t>
      </w:r>
      <w:r>
        <w:rPr>
          <w:rFonts w:ascii="Times New Roman" w:hAnsi="Times New Roman" w:cs="Times New Roman"/>
        </w:rPr>
        <w:t xml:space="preserve">in-year </w:t>
      </w:r>
      <w:r w:rsidRPr="00A15C91">
        <w:rPr>
          <w:rFonts w:ascii="Times New Roman" w:hAnsi="Times New Roman" w:cs="Times New Roman"/>
        </w:rPr>
        <w:t>deficit for year 2015 and 2016 dr</w:t>
      </w:r>
      <w:r>
        <w:rPr>
          <w:rFonts w:ascii="Times New Roman" w:hAnsi="Times New Roman" w:cs="Times New Roman"/>
        </w:rPr>
        <w:t>e</w:t>
      </w:r>
      <w:r w:rsidRPr="00A15C91">
        <w:rPr>
          <w:rFonts w:ascii="Times New Roman" w:hAnsi="Times New Roman" w:cs="Times New Roman"/>
        </w:rPr>
        <w:t>w down on non-core surplus resources accumulated from previous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AF4A" w14:textId="77777777" w:rsidR="00CB6F05" w:rsidRDefault="00CB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8B85" w14:textId="45E5330F" w:rsidR="00CB6F05" w:rsidRDefault="00CB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68B7" w14:textId="77777777" w:rsidR="00CB6F05" w:rsidRDefault="00CB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0DC"/>
    <w:multiLevelType w:val="hybridMultilevel"/>
    <w:tmpl w:val="F9968C2E"/>
    <w:lvl w:ilvl="0" w:tplc="D3329E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5BF4"/>
    <w:multiLevelType w:val="hybridMultilevel"/>
    <w:tmpl w:val="1DD60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C3F46"/>
    <w:multiLevelType w:val="hybridMultilevel"/>
    <w:tmpl w:val="50A88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8594D"/>
    <w:multiLevelType w:val="hybridMultilevel"/>
    <w:tmpl w:val="730AC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50AF3"/>
    <w:multiLevelType w:val="multilevel"/>
    <w:tmpl w:val="813E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423D9"/>
    <w:multiLevelType w:val="hybridMultilevel"/>
    <w:tmpl w:val="F73A1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33"/>
    <w:rsid w:val="00002BB8"/>
    <w:rsid w:val="00026827"/>
    <w:rsid w:val="00027BC1"/>
    <w:rsid w:val="00027EC0"/>
    <w:rsid w:val="0003253F"/>
    <w:rsid w:val="00033BE6"/>
    <w:rsid w:val="00035FD8"/>
    <w:rsid w:val="0004341D"/>
    <w:rsid w:val="000474CB"/>
    <w:rsid w:val="0006058E"/>
    <w:rsid w:val="00071C79"/>
    <w:rsid w:val="000834BC"/>
    <w:rsid w:val="000C071E"/>
    <w:rsid w:val="000C184A"/>
    <w:rsid w:val="000C4D88"/>
    <w:rsid w:val="000C78B1"/>
    <w:rsid w:val="000D4689"/>
    <w:rsid w:val="000D5210"/>
    <w:rsid w:val="000E0BFC"/>
    <w:rsid w:val="000E4944"/>
    <w:rsid w:val="000F1E50"/>
    <w:rsid w:val="001039F3"/>
    <w:rsid w:val="00110B62"/>
    <w:rsid w:val="00136D72"/>
    <w:rsid w:val="001461A6"/>
    <w:rsid w:val="001736B2"/>
    <w:rsid w:val="001754F0"/>
    <w:rsid w:val="00177A09"/>
    <w:rsid w:val="00194A9B"/>
    <w:rsid w:val="001C64AA"/>
    <w:rsid w:val="001F7E39"/>
    <w:rsid w:val="00201F3E"/>
    <w:rsid w:val="00223334"/>
    <w:rsid w:val="002274A0"/>
    <w:rsid w:val="00235C61"/>
    <w:rsid w:val="00237E2F"/>
    <w:rsid w:val="00253CC7"/>
    <w:rsid w:val="00273876"/>
    <w:rsid w:val="00280E7B"/>
    <w:rsid w:val="00283667"/>
    <w:rsid w:val="00293794"/>
    <w:rsid w:val="00295C52"/>
    <w:rsid w:val="002A5663"/>
    <w:rsid w:val="002B19C7"/>
    <w:rsid w:val="002B7148"/>
    <w:rsid w:val="002F3D5C"/>
    <w:rsid w:val="00325664"/>
    <w:rsid w:val="00363CC7"/>
    <w:rsid w:val="00375588"/>
    <w:rsid w:val="00387C8D"/>
    <w:rsid w:val="0039326D"/>
    <w:rsid w:val="003A3ECC"/>
    <w:rsid w:val="003B05E6"/>
    <w:rsid w:val="003B0DD7"/>
    <w:rsid w:val="003B405C"/>
    <w:rsid w:val="003B547C"/>
    <w:rsid w:val="003C6D07"/>
    <w:rsid w:val="003D14B1"/>
    <w:rsid w:val="003D21E4"/>
    <w:rsid w:val="003E46EF"/>
    <w:rsid w:val="00421245"/>
    <w:rsid w:val="0042715B"/>
    <w:rsid w:val="00434BFC"/>
    <w:rsid w:val="004567B0"/>
    <w:rsid w:val="004577C2"/>
    <w:rsid w:val="004611C3"/>
    <w:rsid w:val="00464811"/>
    <w:rsid w:val="00476E50"/>
    <w:rsid w:val="00477FA0"/>
    <w:rsid w:val="00486D31"/>
    <w:rsid w:val="00495283"/>
    <w:rsid w:val="004B2BAC"/>
    <w:rsid w:val="004D03D0"/>
    <w:rsid w:val="004D05E3"/>
    <w:rsid w:val="004D1E36"/>
    <w:rsid w:val="004D40E7"/>
    <w:rsid w:val="004D7C2F"/>
    <w:rsid w:val="00504A74"/>
    <w:rsid w:val="00507C3E"/>
    <w:rsid w:val="00526F91"/>
    <w:rsid w:val="00535BD2"/>
    <w:rsid w:val="005408C7"/>
    <w:rsid w:val="00546106"/>
    <w:rsid w:val="00563850"/>
    <w:rsid w:val="005847F8"/>
    <w:rsid w:val="005A369F"/>
    <w:rsid w:val="005A59E0"/>
    <w:rsid w:val="005B41C2"/>
    <w:rsid w:val="005C62C7"/>
    <w:rsid w:val="005E68BE"/>
    <w:rsid w:val="006107FE"/>
    <w:rsid w:val="00612CA1"/>
    <w:rsid w:val="006132A3"/>
    <w:rsid w:val="00614E96"/>
    <w:rsid w:val="00621942"/>
    <w:rsid w:val="00627484"/>
    <w:rsid w:val="0065013D"/>
    <w:rsid w:val="00653A0B"/>
    <w:rsid w:val="00662782"/>
    <w:rsid w:val="006669D8"/>
    <w:rsid w:val="00667A41"/>
    <w:rsid w:val="00672E45"/>
    <w:rsid w:val="00673214"/>
    <w:rsid w:val="007106C7"/>
    <w:rsid w:val="007160D0"/>
    <w:rsid w:val="00736B09"/>
    <w:rsid w:val="007408EF"/>
    <w:rsid w:val="00741D78"/>
    <w:rsid w:val="007509E2"/>
    <w:rsid w:val="00757A3C"/>
    <w:rsid w:val="00762532"/>
    <w:rsid w:val="0078325E"/>
    <w:rsid w:val="007921D8"/>
    <w:rsid w:val="00797B93"/>
    <w:rsid w:val="007A6E93"/>
    <w:rsid w:val="007B055A"/>
    <w:rsid w:val="007F265A"/>
    <w:rsid w:val="007F472C"/>
    <w:rsid w:val="00802FBB"/>
    <w:rsid w:val="008160A2"/>
    <w:rsid w:val="00816C0A"/>
    <w:rsid w:val="0082017F"/>
    <w:rsid w:val="00842EFB"/>
    <w:rsid w:val="00855E05"/>
    <w:rsid w:val="0088449C"/>
    <w:rsid w:val="00884504"/>
    <w:rsid w:val="008B6458"/>
    <w:rsid w:val="008D742D"/>
    <w:rsid w:val="008E176F"/>
    <w:rsid w:val="008F084F"/>
    <w:rsid w:val="008F1FB7"/>
    <w:rsid w:val="00903658"/>
    <w:rsid w:val="00911152"/>
    <w:rsid w:val="00913D33"/>
    <w:rsid w:val="009378B7"/>
    <w:rsid w:val="0094343D"/>
    <w:rsid w:val="00945176"/>
    <w:rsid w:val="00945C31"/>
    <w:rsid w:val="0096216E"/>
    <w:rsid w:val="00962D4B"/>
    <w:rsid w:val="00963E6E"/>
    <w:rsid w:val="00965413"/>
    <w:rsid w:val="00967BE2"/>
    <w:rsid w:val="0097672C"/>
    <w:rsid w:val="00976CFE"/>
    <w:rsid w:val="009859A1"/>
    <w:rsid w:val="009922FE"/>
    <w:rsid w:val="0099281A"/>
    <w:rsid w:val="0099311F"/>
    <w:rsid w:val="009A18E5"/>
    <w:rsid w:val="009B33C7"/>
    <w:rsid w:val="009B3719"/>
    <w:rsid w:val="009C7F30"/>
    <w:rsid w:val="009D1348"/>
    <w:rsid w:val="009E5B55"/>
    <w:rsid w:val="009F7D3A"/>
    <w:rsid w:val="00A15C91"/>
    <w:rsid w:val="00A2073E"/>
    <w:rsid w:val="00A22445"/>
    <w:rsid w:val="00A22772"/>
    <w:rsid w:val="00A542DA"/>
    <w:rsid w:val="00A55C2B"/>
    <w:rsid w:val="00A76643"/>
    <w:rsid w:val="00A7744B"/>
    <w:rsid w:val="00A83C05"/>
    <w:rsid w:val="00A84333"/>
    <w:rsid w:val="00A84E07"/>
    <w:rsid w:val="00AA4AC5"/>
    <w:rsid w:val="00AA6E88"/>
    <w:rsid w:val="00AA79DB"/>
    <w:rsid w:val="00AB19EC"/>
    <w:rsid w:val="00AF2447"/>
    <w:rsid w:val="00B17EEB"/>
    <w:rsid w:val="00B20BF5"/>
    <w:rsid w:val="00B256BD"/>
    <w:rsid w:val="00B3721F"/>
    <w:rsid w:val="00B40300"/>
    <w:rsid w:val="00B53B30"/>
    <w:rsid w:val="00B571E8"/>
    <w:rsid w:val="00B63213"/>
    <w:rsid w:val="00B64592"/>
    <w:rsid w:val="00B751C9"/>
    <w:rsid w:val="00B8712D"/>
    <w:rsid w:val="00BA443A"/>
    <w:rsid w:val="00BA71D3"/>
    <w:rsid w:val="00BB0B3E"/>
    <w:rsid w:val="00BB3B51"/>
    <w:rsid w:val="00BC7847"/>
    <w:rsid w:val="00C04E5F"/>
    <w:rsid w:val="00C17A20"/>
    <w:rsid w:val="00C25801"/>
    <w:rsid w:val="00C47A1B"/>
    <w:rsid w:val="00C53AD0"/>
    <w:rsid w:val="00C55264"/>
    <w:rsid w:val="00C553D1"/>
    <w:rsid w:val="00C9779F"/>
    <w:rsid w:val="00CB0F60"/>
    <w:rsid w:val="00CB385D"/>
    <w:rsid w:val="00CB56A3"/>
    <w:rsid w:val="00CB6F05"/>
    <w:rsid w:val="00CF7615"/>
    <w:rsid w:val="00D27F69"/>
    <w:rsid w:val="00D4730D"/>
    <w:rsid w:val="00D56904"/>
    <w:rsid w:val="00D72619"/>
    <w:rsid w:val="00DA7E3A"/>
    <w:rsid w:val="00DB2512"/>
    <w:rsid w:val="00DC3FC1"/>
    <w:rsid w:val="00DC62FB"/>
    <w:rsid w:val="00E15444"/>
    <w:rsid w:val="00E67944"/>
    <w:rsid w:val="00EB3D02"/>
    <w:rsid w:val="00EB69C5"/>
    <w:rsid w:val="00EC442E"/>
    <w:rsid w:val="00EE57DE"/>
    <w:rsid w:val="00EF6B81"/>
    <w:rsid w:val="00F06613"/>
    <w:rsid w:val="00F0733C"/>
    <w:rsid w:val="00F1266C"/>
    <w:rsid w:val="00F21099"/>
    <w:rsid w:val="00F211CF"/>
    <w:rsid w:val="00F26E33"/>
    <w:rsid w:val="00F35060"/>
    <w:rsid w:val="00F64F44"/>
    <w:rsid w:val="00F65B6F"/>
    <w:rsid w:val="00F829E2"/>
    <w:rsid w:val="00F95A92"/>
    <w:rsid w:val="00FA3C15"/>
    <w:rsid w:val="00FC61F5"/>
    <w:rsid w:val="00FD009A"/>
    <w:rsid w:val="00FF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430D"/>
  <w15:chartTrackingRefBased/>
  <w15:docId w15:val="{500538EF-C27F-43F3-9E74-E7545635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33"/>
    <w:pPr>
      <w:ind w:left="720"/>
      <w:contextualSpacing/>
    </w:pPr>
  </w:style>
  <w:style w:type="table" w:styleId="TableGrid">
    <w:name w:val="Table Grid"/>
    <w:basedOn w:val="TableNormal"/>
    <w:uiPriority w:val="39"/>
    <w:rsid w:val="00F6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5C"/>
    <w:rPr>
      <w:rFonts w:ascii="Segoe UI" w:hAnsi="Segoe UI" w:cs="Segoe UI"/>
      <w:sz w:val="18"/>
      <w:szCs w:val="18"/>
    </w:rPr>
  </w:style>
  <w:style w:type="paragraph" w:styleId="Header">
    <w:name w:val="header"/>
    <w:basedOn w:val="Normal"/>
    <w:link w:val="HeaderChar"/>
    <w:uiPriority w:val="99"/>
    <w:unhideWhenUsed/>
    <w:rsid w:val="00CB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05"/>
  </w:style>
  <w:style w:type="paragraph" w:styleId="Footer">
    <w:name w:val="footer"/>
    <w:basedOn w:val="Normal"/>
    <w:link w:val="FooterChar"/>
    <w:uiPriority w:val="99"/>
    <w:unhideWhenUsed/>
    <w:rsid w:val="00CB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05"/>
  </w:style>
  <w:style w:type="character" w:styleId="CommentReference">
    <w:name w:val="annotation reference"/>
    <w:basedOn w:val="DefaultParagraphFont"/>
    <w:uiPriority w:val="99"/>
    <w:semiHidden/>
    <w:unhideWhenUsed/>
    <w:rsid w:val="00AB19EC"/>
    <w:rPr>
      <w:sz w:val="16"/>
      <w:szCs w:val="16"/>
    </w:rPr>
  </w:style>
  <w:style w:type="paragraph" w:styleId="CommentText">
    <w:name w:val="annotation text"/>
    <w:basedOn w:val="Normal"/>
    <w:link w:val="CommentTextChar"/>
    <w:uiPriority w:val="99"/>
    <w:unhideWhenUsed/>
    <w:rsid w:val="00AB19EC"/>
    <w:pPr>
      <w:spacing w:line="240" w:lineRule="auto"/>
    </w:pPr>
    <w:rPr>
      <w:sz w:val="20"/>
      <w:szCs w:val="20"/>
    </w:rPr>
  </w:style>
  <w:style w:type="character" w:customStyle="1" w:styleId="CommentTextChar">
    <w:name w:val="Comment Text Char"/>
    <w:basedOn w:val="DefaultParagraphFont"/>
    <w:link w:val="CommentText"/>
    <w:uiPriority w:val="99"/>
    <w:rsid w:val="00AB19EC"/>
    <w:rPr>
      <w:sz w:val="20"/>
      <w:szCs w:val="20"/>
    </w:rPr>
  </w:style>
  <w:style w:type="paragraph" w:styleId="CommentSubject">
    <w:name w:val="annotation subject"/>
    <w:basedOn w:val="CommentText"/>
    <w:next w:val="CommentText"/>
    <w:link w:val="CommentSubjectChar"/>
    <w:uiPriority w:val="99"/>
    <w:semiHidden/>
    <w:unhideWhenUsed/>
    <w:rsid w:val="00AB19EC"/>
    <w:rPr>
      <w:b/>
      <w:bCs/>
    </w:rPr>
  </w:style>
  <w:style w:type="character" w:customStyle="1" w:styleId="CommentSubjectChar">
    <w:name w:val="Comment Subject Char"/>
    <w:basedOn w:val="CommentTextChar"/>
    <w:link w:val="CommentSubject"/>
    <w:uiPriority w:val="99"/>
    <w:semiHidden/>
    <w:rsid w:val="00AB19EC"/>
    <w:rPr>
      <w:b/>
      <w:bCs/>
      <w:sz w:val="20"/>
      <w:szCs w:val="20"/>
    </w:rPr>
  </w:style>
  <w:style w:type="paragraph" w:styleId="Revision">
    <w:name w:val="Revision"/>
    <w:hidden/>
    <w:uiPriority w:val="99"/>
    <w:semiHidden/>
    <w:rsid w:val="00563850"/>
    <w:pPr>
      <w:spacing w:after="0" w:line="240" w:lineRule="auto"/>
    </w:pPr>
  </w:style>
  <w:style w:type="paragraph" w:customStyle="1" w:styleId="gmail-msocommenttext">
    <w:name w:val="gmail-msocommenttext"/>
    <w:basedOn w:val="Normal"/>
    <w:rsid w:val="00A542DA"/>
    <w:pPr>
      <w:spacing w:before="100" w:beforeAutospacing="1" w:after="100" w:afterAutospacing="1" w:line="240" w:lineRule="auto"/>
    </w:pPr>
    <w:rPr>
      <w:rFonts w:ascii="Calibri" w:eastAsia="Times New Roman" w:hAnsi="Calibri" w:cs="Calibri"/>
      <w:lang w:eastAsia="ja-JP"/>
    </w:rPr>
  </w:style>
  <w:style w:type="paragraph" w:styleId="FootnoteText">
    <w:name w:val="footnote text"/>
    <w:basedOn w:val="Normal"/>
    <w:link w:val="FootnoteTextChar"/>
    <w:uiPriority w:val="99"/>
    <w:semiHidden/>
    <w:unhideWhenUsed/>
    <w:rsid w:val="00816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0A2"/>
    <w:rPr>
      <w:sz w:val="20"/>
      <w:szCs w:val="20"/>
    </w:rPr>
  </w:style>
  <w:style w:type="character" w:styleId="FootnoteReference">
    <w:name w:val="footnote reference"/>
    <w:basedOn w:val="DefaultParagraphFont"/>
    <w:uiPriority w:val="99"/>
    <w:semiHidden/>
    <w:unhideWhenUsed/>
    <w:rsid w:val="0081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254">
      <w:bodyDiv w:val="1"/>
      <w:marLeft w:val="0"/>
      <w:marRight w:val="0"/>
      <w:marTop w:val="0"/>
      <w:marBottom w:val="0"/>
      <w:divBdr>
        <w:top w:val="none" w:sz="0" w:space="0" w:color="auto"/>
        <w:left w:val="none" w:sz="0" w:space="0" w:color="auto"/>
        <w:bottom w:val="none" w:sz="0" w:space="0" w:color="auto"/>
        <w:right w:val="none" w:sz="0" w:space="0" w:color="auto"/>
      </w:divBdr>
    </w:div>
    <w:div w:id="1442846575">
      <w:bodyDiv w:val="1"/>
      <w:marLeft w:val="0"/>
      <w:marRight w:val="0"/>
      <w:marTop w:val="0"/>
      <w:marBottom w:val="0"/>
      <w:divBdr>
        <w:top w:val="none" w:sz="0" w:space="0" w:color="auto"/>
        <w:left w:val="none" w:sz="0" w:space="0" w:color="auto"/>
        <w:bottom w:val="none" w:sz="0" w:space="0" w:color="auto"/>
        <w:right w:val="none" w:sz="0" w:space="0" w:color="auto"/>
      </w:divBdr>
    </w:div>
    <w:div w:id="16951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iang.yu\Documents\Documents\UNCDF%20Nov%202018\Financial%20Statement\2018%20Year-end\EB_report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iang.yu\Documents\Documents\UNCDF%20Nov%202018\Financial%20Statement\2018%20Year-end\EB_report_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iang.yu\Documents\Documents\UNCDF%20Nov%202018\Financial%20Statement\2018%20Year-end\EB_report_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'Fig1'!$B$8</c:f>
              <c:strCache>
                <c:ptCount val="1"/>
                <c:pt idx="0">
                  <c:v>Revenue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9482200647249284E-2"/>
                  <c:y val="-3.427467527340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90-4F99-A5E3-1AD56DF0534F}"/>
                </c:ext>
              </c:extLst>
            </c:dLbl>
            <c:dLbl>
              <c:idx val="4"/>
              <c:layout>
                <c:manualLayout>
                  <c:x val="-3.9482200647249194E-2"/>
                  <c:y val="-4.3032199762581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90-4F99-A5E3-1AD56DF0534F}"/>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'Fig1'!$A$9:$A$13</c:f>
              <c:numCache>
                <c:formatCode>General</c:formatCode>
                <c:ptCount val="5"/>
                <c:pt idx="0">
                  <c:v>2014</c:v>
                </c:pt>
                <c:pt idx="1">
                  <c:v>2015</c:v>
                </c:pt>
                <c:pt idx="2">
                  <c:v>2016</c:v>
                </c:pt>
                <c:pt idx="3">
                  <c:v>2017</c:v>
                </c:pt>
                <c:pt idx="4">
                  <c:v>2018</c:v>
                </c:pt>
              </c:numCache>
            </c:numRef>
          </c:cat>
          <c:val>
            <c:numRef>
              <c:f>'Fig1'!$B$9:$B$13</c:f>
              <c:numCache>
                <c:formatCode>_(* #,##0_);_(* \(#,##0\);_(* "-"??_);_(@_)</c:formatCode>
                <c:ptCount val="5"/>
                <c:pt idx="0">
                  <c:v>89.063999999999993</c:v>
                </c:pt>
                <c:pt idx="1">
                  <c:v>58.414999999999999</c:v>
                </c:pt>
                <c:pt idx="2">
                  <c:v>53.13</c:v>
                </c:pt>
                <c:pt idx="3">
                  <c:v>68.498999999999995</c:v>
                </c:pt>
                <c:pt idx="4" formatCode="General">
                  <c:v>69</c:v>
                </c:pt>
              </c:numCache>
            </c:numRef>
          </c:val>
          <c:smooth val="0"/>
          <c:extLst>
            <c:ext xmlns:c16="http://schemas.microsoft.com/office/drawing/2014/chart" uri="{C3380CC4-5D6E-409C-BE32-E72D297353CC}">
              <c16:uniqueId val="{00000002-3890-4F99-A5E3-1AD56DF0534F}"/>
            </c:ext>
          </c:extLst>
        </c:ser>
        <c:ser>
          <c:idx val="1"/>
          <c:order val="1"/>
          <c:tx>
            <c:strRef>
              <c:f>'Fig1'!$C$8</c:f>
              <c:strCache>
                <c:ptCount val="1"/>
                <c:pt idx="0">
                  <c:v>Expenses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4.2071197411003333E-2"/>
                  <c:y val="3.427467527340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90-4F99-A5E3-1AD56DF0534F}"/>
                </c:ext>
              </c:extLst>
            </c:dLbl>
            <c:dLbl>
              <c:idx val="4"/>
              <c:layout>
                <c:manualLayout>
                  <c:x val="-4.7249190938511425E-2"/>
                  <c:y val="3.427467527340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90-4F99-A5E3-1AD56DF0534F}"/>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'Fig1'!$A$9:$A$13</c:f>
              <c:numCache>
                <c:formatCode>General</c:formatCode>
                <c:ptCount val="5"/>
                <c:pt idx="0">
                  <c:v>2014</c:v>
                </c:pt>
                <c:pt idx="1">
                  <c:v>2015</c:v>
                </c:pt>
                <c:pt idx="2">
                  <c:v>2016</c:v>
                </c:pt>
                <c:pt idx="3">
                  <c:v>2017</c:v>
                </c:pt>
                <c:pt idx="4">
                  <c:v>2018</c:v>
                </c:pt>
              </c:numCache>
            </c:numRef>
          </c:cat>
          <c:val>
            <c:numRef>
              <c:f>'Fig1'!$C$9:$C$13</c:f>
              <c:numCache>
                <c:formatCode>_(* #,##0_);_(* \(#,##0\);_(* "-"??_);_(@_)</c:formatCode>
                <c:ptCount val="5"/>
                <c:pt idx="0">
                  <c:v>57.970999999999997</c:v>
                </c:pt>
                <c:pt idx="1">
                  <c:v>66.73</c:v>
                </c:pt>
                <c:pt idx="2">
                  <c:v>63.447000000000003</c:v>
                </c:pt>
                <c:pt idx="3">
                  <c:v>64.584999999999994</c:v>
                </c:pt>
                <c:pt idx="4" formatCode="General">
                  <c:v>61</c:v>
                </c:pt>
              </c:numCache>
            </c:numRef>
          </c:val>
          <c:smooth val="0"/>
          <c:extLst>
            <c:ext xmlns:c16="http://schemas.microsoft.com/office/drawing/2014/chart" uri="{C3380CC4-5D6E-409C-BE32-E72D297353CC}">
              <c16:uniqueId val="{00000005-3890-4F99-A5E3-1AD56DF0534F}"/>
            </c:ext>
          </c:extLst>
        </c:ser>
        <c:dLbls>
          <c:dLblPos val="t"/>
          <c:showLegendKey val="0"/>
          <c:showVal val="1"/>
          <c:showCatName val="0"/>
          <c:showSerName val="0"/>
          <c:showPercent val="0"/>
          <c:showBubbleSize val="0"/>
        </c:dLbls>
        <c:marker val="1"/>
        <c:smooth val="0"/>
        <c:axId val="468048600"/>
        <c:axId val="468050240"/>
      </c:lineChart>
      <c:catAx>
        <c:axId val="468048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050240"/>
        <c:crossesAt val="0"/>
        <c:auto val="1"/>
        <c:lblAlgn val="ctr"/>
        <c:lblOffset val="100"/>
        <c:noMultiLvlLbl val="0"/>
      </c:catAx>
      <c:valAx>
        <c:axId val="46805024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04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 4'!$B$1</c:f>
              <c:strCache>
                <c:ptCount val="1"/>
                <c:pt idx="0">
                  <c:v> Regular resources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4'!$A$2:$A$6</c:f>
              <c:numCache>
                <c:formatCode>General</c:formatCode>
                <c:ptCount val="5"/>
                <c:pt idx="0">
                  <c:v>2014</c:v>
                </c:pt>
                <c:pt idx="1">
                  <c:v>2015</c:v>
                </c:pt>
                <c:pt idx="2">
                  <c:v>2016</c:v>
                </c:pt>
                <c:pt idx="3">
                  <c:v>2017</c:v>
                </c:pt>
                <c:pt idx="4">
                  <c:v>2018</c:v>
                </c:pt>
              </c:numCache>
            </c:numRef>
          </c:cat>
          <c:val>
            <c:numRef>
              <c:f>'Fig 4'!$B$2:$B$6</c:f>
              <c:numCache>
                <c:formatCode>General</c:formatCode>
                <c:ptCount val="5"/>
                <c:pt idx="0">
                  <c:v>13.5</c:v>
                </c:pt>
                <c:pt idx="1">
                  <c:v>11.6</c:v>
                </c:pt>
                <c:pt idx="2">
                  <c:v>9.4</c:v>
                </c:pt>
                <c:pt idx="3">
                  <c:v>9.6999999999999993</c:v>
                </c:pt>
                <c:pt idx="4">
                  <c:v>9.9</c:v>
                </c:pt>
              </c:numCache>
            </c:numRef>
          </c:val>
          <c:extLst>
            <c:ext xmlns:c16="http://schemas.microsoft.com/office/drawing/2014/chart" uri="{C3380CC4-5D6E-409C-BE32-E72D297353CC}">
              <c16:uniqueId val="{00000000-36CE-461E-9411-73258BA0834C}"/>
            </c:ext>
          </c:extLst>
        </c:ser>
        <c:ser>
          <c:idx val="1"/>
          <c:order val="1"/>
          <c:tx>
            <c:strRef>
              <c:f>'Fig 4'!$C$1</c:f>
              <c:strCache>
                <c:ptCount val="1"/>
                <c:pt idx="0">
                  <c:v> Other resources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4'!$A$2:$A$6</c:f>
              <c:numCache>
                <c:formatCode>General</c:formatCode>
                <c:ptCount val="5"/>
                <c:pt idx="0">
                  <c:v>2014</c:v>
                </c:pt>
                <c:pt idx="1">
                  <c:v>2015</c:v>
                </c:pt>
                <c:pt idx="2">
                  <c:v>2016</c:v>
                </c:pt>
                <c:pt idx="3">
                  <c:v>2017</c:v>
                </c:pt>
                <c:pt idx="4">
                  <c:v>2018</c:v>
                </c:pt>
              </c:numCache>
            </c:numRef>
          </c:cat>
          <c:val>
            <c:numRef>
              <c:f>'Fig 4'!$C$2:$C$6</c:f>
              <c:numCache>
                <c:formatCode>General</c:formatCode>
                <c:ptCount val="5"/>
                <c:pt idx="0">
                  <c:v>74.7</c:v>
                </c:pt>
                <c:pt idx="1">
                  <c:v>46</c:v>
                </c:pt>
                <c:pt idx="2">
                  <c:v>42.6</c:v>
                </c:pt>
                <c:pt idx="3">
                  <c:v>56.2</c:v>
                </c:pt>
                <c:pt idx="4">
                  <c:v>55.8</c:v>
                </c:pt>
              </c:numCache>
            </c:numRef>
          </c:val>
          <c:extLst>
            <c:ext xmlns:c16="http://schemas.microsoft.com/office/drawing/2014/chart" uri="{C3380CC4-5D6E-409C-BE32-E72D297353CC}">
              <c16:uniqueId val="{00000001-36CE-461E-9411-73258BA0834C}"/>
            </c:ext>
          </c:extLst>
        </c:ser>
        <c:dLbls>
          <c:dLblPos val="ctr"/>
          <c:showLegendKey val="0"/>
          <c:showVal val="1"/>
          <c:showCatName val="0"/>
          <c:showSerName val="0"/>
          <c:showPercent val="0"/>
          <c:showBubbleSize val="0"/>
        </c:dLbls>
        <c:gapWidth val="150"/>
        <c:overlap val="100"/>
        <c:axId val="481582968"/>
        <c:axId val="481585920"/>
      </c:barChart>
      <c:catAx>
        <c:axId val="48158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1585920"/>
        <c:crosses val="autoZero"/>
        <c:auto val="1"/>
        <c:lblAlgn val="ctr"/>
        <c:lblOffset val="100"/>
        <c:noMultiLvlLbl val="0"/>
      </c:catAx>
      <c:valAx>
        <c:axId val="48158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1582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'Fig 5'!$B$1</c:f>
              <c:strCache>
                <c:ptCount val="1"/>
                <c:pt idx="0">
                  <c:v> Regular resources </c:v>
                </c:pt>
              </c:strCache>
            </c:strRef>
          </c:tx>
          <c:spPr>
            <a:solidFill>
              <a:schemeClr val="accent1"/>
            </a:solidFill>
            <a:ln>
              <a:noFill/>
            </a:ln>
            <a:effectLst/>
          </c:spPr>
          <c:invertIfNegative val="0"/>
          <c:cat>
            <c:strRef>
              <c:f>'Fig 5'!$A$2:$A$16</c:f>
              <c:strCache>
                <c:ptCount val="15"/>
                <c:pt idx="0">
                  <c:v>Government of Sweden</c:v>
                </c:pt>
                <c:pt idx="1">
                  <c:v>The Multi-Partner Trust Fund office (MPTFO)</c:v>
                </c:pt>
                <c:pt idx="2">
                  <c:v>Mastercard Foundation</c:v>
                </c:pt>
                <c:pt idx="3">
                  <c:v>European Union </c:v>
                </c:pt>
                <c:pt idx="4">
                  <c:v>Government of Luxembourg</c:v>
                </c:pt>
                <c:pt idx="5">
                  <c:v>Government of Switzerland</c:v>
                </c:pt>
                <c:pt idx="6">
                  <c:v>Government of Norway</c:v>
                </c:pt>
                <c:pt idx="7">
                  <c:v>Government of Belgium</c:v>
                </c:pt>
                <c:pt idx="8">
                  <c:v>The Bill &amp; Melinda Gates Foundation</c:v>
                </c:pt>
                <c:pt idx="9">
                  <c:v>Government of the United Kingdom (DFID)</c:v>
                </c:pt>
                <c:pt idx="10">
                  <c:v>Visa Inc.</c:v>
                </c:pt>
                <c:pt idx="11">
                  <c:v>Government of Netherlands</c:v>
                </c:pt>
                <c:pt idx="12">
                  <c:v>Government of the United States of America</c:v>
                </c:pt>
                <c:pt idx="13">
                  <c:v>Pact Global Microfinance Fund</c:v>
                </c:pt>
                <c:pt idx="14">
                  <c:v>Government of Australia</c:v>
                </c:pt>
              </c:strCache>
            </c:strRef>
          </c:cat>
          <c:val>
            <c:numRef>
              <c:f>'Fig 5'!$B$2:$B$16</c:f>
              <c:numCache>
                <c:formatCode>General</c:formatCode>
                <c:ptCount val="15"/>
                <c:pt idx="0">
                  <c:v>4.21</c:v>
                </c:pt>
                <c:pt idx="1">
                  <c:v>0</c:v>
                </c:pt>
                <c:pt idx="2">
                  <c:v>0</c:v>
                </c:pt>
                <c:pt idx="3">
                  <c:v>0</c:v>
                </c:pt>
                <c:pt idx="4">
                  <c:v>0.64</c:v>
                </c:pt>
                <c:pt idx="5">
                  <c:v>3.02</c:v>
                </c:pt>
                <c:pt idx="6">
                  <c:v>0.59</c:v>
                </c:pt>
                <c:pt idx="7">
                  <c:v>0</c:v>
                </c:pt>
                <c:pt idx="8">
                  <c:v>0</c:v>
                </c:pt>
                <c:pt idx="9">
                  <c:v>0</c:v>
                </c:pt>
                <c:pt idx="10">
                  <c:v>0</c:v>
                </c:pt>
                <c:pt idx="11">
                  <c:v>0</c:v>
                </c:pt>
                <c:pt idx="12">
                  <c:v>0.5</c:v>
                </c:pt>
                <c:pt idx="13">
                  <c:v>0</c:v>
                </c:pt>
                <c:pt idx="14">
                  <c:v>0.76</c:v>
                </c:pt>
              </c:numCache>
            </c:numRef>
          </c:val>
          <c:extLst>
            <c:ext xmlns:c16="http://schemas.microsoft.com/office/drawing/2014/chart" uri="{C3380CC4-5D6E-409C-BE32-E72D297353CC}">
              <c16:uniqueId val="{00000000-0A04-477B-923E-C7DB0EFE1F57}"/>
            </c:ext>
          </c:extLst>
        </c:ser>
        <c:ser>
          <c:idx val="1"/>
          <c:order val="1"/>
          <c:tx>
            <c:strRef>
              <c:f>'Fig 5'!$C$1</c:f>
              <c:strCache>
                <c:ptCount val="1"/>
                <c:pt idx="0">
                  <c:v> Other resources </c:v>
                </c:pt>
              </c:strCache>
            </c:strRef>
          </c:tx>
          <c:spPr>
            <a:solidFill>
              <a:schemeClr val="accent2"/>
            </a:solidFill>
            <a:ln>
              <a:noFill/>
            </a:ln>
            <a:effectLst/>
          </c:spPr>
          <c:invertIfNegative val="0"/>
          <c:cat>
            <c:strRef>
              <c:f>'Fig 5'!$A$2:$A$16</c:f>
              <c:strCache>
                <c:ptCount val="15"/>
                <c:pt idx="0">
                  <c:v>Government of Sweden</c:v>
                </c:pt>
                <c:pt idx="1">
                  <c:v>The Multi-Partner Trust Fund office (MPTFO)</c:v>
                </c:pt>
                <c:pt idx="2">
                  <c:v>Mastercard Foundation</c:v>
                </c:pt>
                <c:pt idx="3">
                  <c:v>European Union </c:v>
                </c:pt>
                <c:pt idx="4">
                  <c:v>Government of Luxembourg</c:v>
                </c:pt>
                <c:pt idx="5">
                  <c:v>Government of Switzerland</c:v>
                </c:pt>
                <c:pt idx="6">
                  <c:v>Government of Norway</c:v>
                </c:pt>
                <c:pt idx="7">
                  <c:v>Government of Belgium</c:v>
                </c:pt>
                <c:pt idx="8">
                  <c:v>The Bill &amp; Melinda Gates Foundation</c:v>
                </c:pt>
                <c:pt idx="9">
                  <c:v>Government of the United Kingdom (DFID)</c:v>
                </c:pt>
                <c:pt idx="10">
                  <c:v>Visa Inc.</c:v>
                </c:pt>
                <c:pt idx="11">
                  <c:v>Government of Netherlands</c:v>
                </c:pt>
                <c:pt idx="12">
                  <c:v>Government of the United States of America</c:v>
                </c:pt>
                <c:pt idx="13">
                  <c:v>Pact Global Microfinance Fund</c:v>
                </c:pt>
                <c:pt idx="14">
                  <c:v>Government of Australia</c:v>
                </c:pt>
              </c:strCache>
            </c:strRef>
          </c:cat>
          <c:val>
            <c:numRef>
              <c:f>'Fig 5'!$C$2:$C$16</c:f>
              <c:numCache>
                <c:formatCode>General</c:formatCode>
                <c:ptCount val="15"/>
                <c:pt idx="0">
                  <c:v>7.33</c:v>
                </c:pt>
                <c:pt idx="1">
                  <c:v>8.76</c:v>
                </c:pt>
                <c:pt idx="2">
                  <c:v>8.2899999999999991</c:v>
                </c:pt>
                <c:pt idx="3">
                  <c:v>6.52</c:v>
                </c:pt>
                <c:pt idx="4">
                  <c:v>3.64</c:v>
                </c:pt>
                <c:pt idx="5">
                  <c:v>0.96</c:v>
                </c:pt>
                <c:pt idx="6">
                  <c:v>3.29</c:v>
                </c:pt>
                <c:pt idx="7">
                  <c:v>3.47</c:v>
                </c:pt>
                <c:pt idx="8">
                  <c:v>2.68</c:v>
                </c:pt>
                <c:pt idx="9">
                  <c:v>2.09</c:v>
                </c:pt>
                <c:pt idx="10">
                  <c:v>1.1000000000000001</c:v>
                </c:pt>
                <c:pt idx="11">
                  <c:v>1.0900000000000001</c:v>
                </c:pt>
                <c:pt idx="12">
                  <c:v>0.5</c:v>
                </c:pt>
                <c:pt idx="13">
                  <c:v>0.99</c:v>
                </c:pt>
                <c:pt idx="14">
                  <c:v>0.18</c:v>
                </c:pt>
              </c:numCache>
            </c:numRef>
          </c:val>
          <c:extLst>
            <c:ext xmlns:c16="http://schemas.microsoft.com/office/drawing/2014/chart" uri="{C3380CC4-5D6E-409C-BE32-E72D297353CC}">
              <c16:uniqueId val="{00000001-0A04-477B-923E-C7DB0EFE1F57}"/>
            </c:ext>
          </c:extLst>
        </c:ser>
        <c:dLbls>
          <c:showLegendKey val="0"/>
          <c:showVal val="0"/>
          <c:showCatName val="0"/>
          <c:showSerName val="0"/>
          <c:showPercent val="0"/>
          <c:showBubbleSize val="0"/>
        </c:dLbls>
        <c:gapWidth val="150"/>
        <c:overlap val="100"/>
        <c:axId val="624266320"/>
        <c:axId val="624263368"/>
      </c:barChart>
      <c:catAx>
        <c:axId val="624266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24263368"/>
        <c:crosses val="autoZero"/>
        <c:auto val="1"/>
        <c:lblAlgn val="ctr"/>
        <c:lblOffset val="100"/>
        <c:noMultiLvlLbl val="0"/>
      </c:catAx>
      <c:valAx>
        <c:axId val="624263368"/>
        <c:scaling>
          <c:orientation val="minMax"/>
        </c:scaling>
        <c:delete val="0"/>
        <c:axPos val="t"/>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2426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7" ma:contentTypeDescription="Create a new document." ma:contentTypeScope="" ma:versionID="e4506075f6208609809b6a1a4aa1283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7fc17450eb085116a9c078d40bf9cff7"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8ED-8B86-43D5-93C5-861E5A9BB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2D438-ADF6-4C7F-834D-069ABB73D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7CA7E-133F-4E05-A8EF-FF91445B13C4}">
  <ds:schemaRefs>
    <ds:schemaRef ds:uri="http://schemas.microsoft.com/sharepoint/v3/contenttype/forms"/>
  </ds:schemaRefs>
</ds:datastoreItem>
</file>

<file path=customXml/itemProps4.xml><?xml version="1.0" encoding="utf-8"?>
<ds:datastoreItem xmlns:ds="http://schemas.openxmlformats.org/officeDocument/2006/customXml" ds:itemID="{09A8EF2E-A6CC-4D51-AA7E-289576A7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Yu</dc:creator>
  <cp:keywords/>
  <dc:description/>
  <cp:lastModifiedBy>Svetlana Iazykova</cp:lastModifiedBy>
  <cp:revision>2</cp:revision>
  <cp:lastPrinted>2019-08-05T18:49:00Z</cp:lastPrinted>
  <dcterms:created xsi:type="dcterms:W3CDTF">2019-08-23T15:11:00Z</dcterms:created>
  <dcterms:modified xsi:type="dcterms:W3CDTF">2019-08-23T15:11:00Z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